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1D7" w:rsidRDefault="007521D7" w:rsidP="008835A4">
      <w:pPr>
        <w:pStyle w:val="Ttulo1"/>
        <w:rPr>
          <w:lang w:val="es-ES_tradnl" w:eastAsia="en-GB"/>
        </w:rPr>
      </w:pPr>
      <w:r>
        <w:rPr>
          <w:lang w:val="es-ES_tradnl" w:eastAsia="en-GB"/>
        </w:rPr>
        <w:t>Revisión del Estado del Arte</w:t>
      </w:r>
    </w:p>
    <w:p w:rsidR="007521D7" w:rsidRDefault="001643FC" w:rsidP="001643FC">
      <w:pPr>
        <w:spacing w:after="120"/>
        <w:rPr>
          <w:lang w:val="es-ES_tradnl" w:eastAsia="en-GB"/>
        </w:rPr>
      </w:pPr>
      <w:r>
        <w:rPr>
          <w:lang w:val="es-ES_tradnl" w:eastAsia="en-GB"/>
        </w:rPr>
        <w:t>Se lleva a cabo una revisión del estado del arte a partir de una búsqueda de documentos referenciales en las líneas de antecedentes generales de centrales de bombeo, antecedentes específicos de centrales de bombeo con agua de mar y antecedentes sobre el uso de metodologías de estimación de potencial en base a sistemas de información geográfica. La revisión tiene por objetivo llevar</w:t>
      </w:r>
      <w:r w:rsidR="007521D7">
        <w:rPr>
          <w:lang w:val="es-ES_tradnl" w:eastAsia="en-GB"/>
        </w:rPr>
        <w:t xml:space="preserve"> a cabo un diagnóstico de la situación nacional e internacional respecto a los siguientes aspectos:</w:t>
      </w:r>
    </w:p>
    <w:p w:rsidR="007521D7" w:rsidRPr="002F6FDB" w:rsidRDefault="007521D7" w:rsidP="007521D7">
      <w:pPr>
        <w:pStyle w:val="Prrafodelista"/>
        <w:numPr>
          <w:ilvl w:val="0"/>
          <w:numId w:val="1"/>
        </w:numPr>
        <w:spacing w:after="200" w:line="276" w:lineRule="auto"/>
      </w:pPr>
      <w:r w:rsidRPr="002F6FDB">
        <w:t xml:space="preserve">Antecedentes </w:t>
      </w:r>
      <w:r w:rsidR="00945642">
        <w:t xml:space="preserve">internacionales e históricos </w:t>
      </w:r>
      <w:r w:rsidRPr="002F6FDB">
        <w:t>del desarrollo de centrales de bombeo en el contexto mundial.</w:t>
      </w:r>
    </w:p>
    <w:p w:rsidR="00CA1335" w:rsidRDefault="007521D7" w:rsidP="007521D7">
      <w:pPr>
        <w:pStyle w:val="Prrafodelista"/>
        <w:numPr>
          <w:ilvl w:val="0"/>
          <w:numId w:val="1"/>
        </w:numPr>
        <w:spacing w:after="200" w:line="276" w:lineRule="auto"/>
      </w:pPr>
      <w:r w:rsidRPr="002F6FDB">
        <w:t xml:space="preserve">Antecedentes de la experiencia nacional de centrales de bombeo, </w:t>
      </w:r>
    </w:p>
    <w:p w:rsidR="007521D7" w:rsidRPr="002F6FDB" w:rsidRDefault="00CA1335" w:rsidP="007521D7">
      <w:pPr>
        <w:pStyle w:val="Prrafodelista"/>
        <w:numPr>
          <w:ilvl w:val="0"/>
          <w:numId w:val="1"/>
        </w:numPr>
        <w:spacing w:after="200" w:line="276" w:lineRule="auto"/>
      </w:pPr>
      <w:r>
        <w:t xml:space="preserve">Curvas de aprendizaje y </w:t>
      </w:r>
      <w:r w:rsidR="007521D7" w:rsidRPr="002F6FDB">
        <w:t>proyección internacional de la tecnología.</w:t>
      </w:r>
    </w:p>
    <w:p w:rsidR="007521D7" w:rsidRPr="002F6FDB" w:rsidRDefault="007521D7" w:rsidP="007521D7">
      <w:pPr>
        <w:pStyle w:val="Prrafodelista"/>
        <w:numPr>
          <w:ilvl w:val="0"/>
          <w:numId w:val="1"/>
        </w:numPr>
        <w:spacing w:after="200" w:line="276" w:lineRule="auto"/>
      </w:pPr>
      <w:r w:rsidRPr="002F6FDB">
        <w:t xml:space="preserve">Características técnicas de las centrales de bombeo </w:t>
      </w:r>
      <w:r w:rsidR="00CF56D0">
        <w:t xml:space="preserve">con agua de mar </w:t>
      </w:r>
      <w:r w:rsidRPr="002F6FDB">
        <w:t>instaladas y en operación a nivel mundial.</w:t>
      </w:r>
    </w:p>
    <w:p w:rsidR="007521D7" w:rsidRPr="002F6FDB" w:rsidRDefault="007521D7" w:rsidP="007521D7">
      <w:pPr>
        <w:pStyle w:val="Prrafodelista"/>
        <w:numPr>
          <w:ilvl w:val="0"/>
          <w:numId w:val="1"/>
        </w:numPr>
        <w:spacing w:after="200" w:line="276" w:lineRule="auto"/>
      </w:pPr>
      <w:r w:rsidRPr="002F6FDB">
        <w:t>Criterios y umbrales técnicos utilizados para la identificación de potenciales en las experiencias internacionales, incluyendo un cuadro comparativo.</w:t>
      </w:r>
    </w:p>
    <w:p w:rsidR="007521D7" w:rsidRPr="002F6FDB" w:rsidRDefault="007521D7" w:rsidP="007521D7">
      <w:pPr>
        <w:pStyle w:val="Prrafodelista"/>
        <w:numPr>
          <w:ilvl w:val="0"/>
          <w:numId w:val="1"/>
        </w:numPr>
        <w:spacing w:after="200" w:line="276" w:lineRule="auto"/>
      </w:pPr>
      <w:r w:rsidRPr="002F6FDB">
        <w:t>Levantamiento de costos asociados a la instalación de centrales de bombeo, desagregando los compone</w:t>
      </w:r>
      <w:r w:rsidR="001643FC">
        <w:t>ntes de su estructura de costos.</w:t>
      </w:r>
    </w:p>
    <w:p w:rsidR="007521D7" w:rsidRDefault="007521D7" w:rsidP="007521D7">
      <w:pPr>
        <w:pStyle w:val="Prrafodelista"/>
        <w:numPr>
          <w:ilvl w:val="0"/>
          <w:numId w:val="1"/>
        </w:numPr>
        <w:spacing w:after="200" w:line="276" w:lineRule="auto"/>
      </w:pPr>
      <w:r w:rsidRPr="002F6FDB">
        <w:t>Consideraciones ambientales y sociales que conllevan la construcción de este tipo proyectos.</w:t>
      </w:r>
    </w:p>
    <w:p w:rsidR="008835A4" w:rsidRDefault="008835A4" w:rsidP="008835A4">
      <w:pPr>
        <w:spacing w:after="200" w:line="276" w:lineRule="auto"/>
      </w:pPr>
      <w:r>
        <w:t>En total se revisan más de 40 referencias de las cuales se seleccionan 19 por sus pertinencias en los aspectos a analizar. La siguiente tabla resume la información de los documentos revisados.</w:t>
      </w:r>
    </w:p>
    <w:tbl>
      <w:tblPr>
        <w:tblStyle w:val="Tablaconcuadrcula"/>
        <w:tblW w:w="5000" w:type="pct"/>
        <w:tblLayout w:type="fixed"/>
        <w:tblCellMar>
          <w:left w:w="28" w:type="dxa"/>
          <w:right w:w="0" w:type="dxa"/>
        </w:tblCellMar>
        <w:tblLook w:val="04A0" w:firstRow="1" w:lastRow="0" w:firstColumn="1" w:lastColumn="0" w:noHBand="0" w:noVBand="1"/>
      </w:tblPr>
      <w:tblGrid>
        <w:gridCol w:w="275"/>
        <w:gridCol w:w="2129"/>
        <w:gridCol w:w="992"/>
        <w:gridCol w:w="994"/>
        <w:gridCol w:w="426"/>
        <w:gridCol w:w="991"/>
        <w:gridCol w:w="992"/>
        <w:gridCol w:w="2029"/>
      </w:tblGrid>
      <w:tr w:rsidR="00696ECC" w:rsidRPr="008835A4" w:rsidTr="00696ECC">
        <w:trPr>
          <w:trHeight w:val="1200"/>
          <w:tblHeader/>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w:t>
            </w:r>
          </w:p>
        </w:tc>
        <w:tc>
          <w:tcPr>
            <w:tcW w:w="120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Título</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Organización / Revista</w:t>
            </w:r>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Tipo</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Año</w:t>
            </w:r>
          </w:p>
        </w:tc>
        <w:tc>
          <w:tcPr>
            <w:tcW w:w="56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Autores</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Escala</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Descripción y alcances</w:t>
            </w:r>
          </w:p>
        </w:tc>
      </w:tr>
      <w:tr w:rsidR="00696ECC" w:rsidRPr="008835A4" w:rsidTr="00696ECC">
        <w:trPr>
          <w:trHeight w:val="12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1</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A GIS-based method to identify potential sites for pumped hydro energy storage - Case of Iran</w:t>
            </w:r>
          </w:p>
        </w:tc>
        <w:tc>
          <w:tcPr>
            <w:tcW w:w="562"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Energy</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Elsevier</w:t>
            </w:r>
            <w:proofErr w:type="spellEnd"/>
            <w:r w:rsidRPr="008835A4">
              <w:rPr>
                <w:rFonts w:eastAsia="Times New Roman" w:cs="Calibri"/>
                <w:color w:val="000000"/>
                <w:sz w:val="18"/>
                <w:lang w:eastAsia="es-CL"/>
              </w:rPr>
              <w:t>)</w:t>
            </w:r>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Publicación científica</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2019</w:t>
            </w:r>
          </w:p>
        </w:tc>
        <w:tc>
          <w:tcPr>
            <w:tcW w:w="561" w:type="pct"/>
            <w:hideMark/>
          </w:tcPr>
          <w:p w:rsidR="008835A4" w:rsidRPr="008835A4" w:rsidRDefault="008835A4" w:rsidP="008835A4">
            <w:pPr>
              <w:jc w:val="left"/>
              <w:rPr>
                <w:rFonts w:eastAsia="Times New Roman" w:cs="Calibri"/>
                <w:color w:val="000000"/>
                <w:sz w:val="18"/>
                <w:lang w:val="en-US" w:eastAsia="es-CL"/>
              </w:rPr>
            </w:pPr>
            <w:proofErr w:type="spellStart"/>
            <w:r w:rsidRPr="008835A4">
              <w:rPr>
                <w:rFonts w:eastAsia="Times New Roman" w:cs="Calibri"/>
                <w:color w:val="000000"/>
                <w:sz w:val="18"/>
                <w:lang w:val="en-US" w:eastAsia="es-CL"/>
              </w:rPr>
              <w:t>Narges</w:t>
            </w:r>
            <w:proofErr w:type="spellEnd"/>
            <w:r w:rsidRPr="008835A4">
              <w:rPr>
                <w:rFonts w:eastAsia="Times New Roman" w:cs="Calibri"/>
                <w:color w:val="000000"/>
                <w:sz w:val="18"/>
                <w:lang w:val="en-US" w:eastAsia="es-CL"/>
              </w:rPr>
              <w:t xml:space="preserve"> </w:t>
            </w:r>
            <w:proofErr w:type="spellStart"/>
            <w:r w:rsidRPr="008835A4">
              <w:rPr>
                <w:rFonts w:eastAsia="Times New Roman" w:cs="Calibri"/>
                <w:color w:val="000000"/>
                <w:sz w:val="18"/>
                <w:lang w:val="en-US" w:eastAsia="es-CL"/>
              </w:rPr>
              <w:t>Ghorbani</w:t>
            </w:r>
            <w:proofErr w:type="spellEnd"/>
            <w:r w:rsidRPr="008835A4">
              <w:rPr>
                <w:rFonts w:eastAsia="Times New Roman" w:cs="Calibri"/>
                <w:color w:val="000000"/>
                <w:sz w:val="18"/>
                <w:lang w:val="en-US" w:eastAsia="es-CL"/>
              </w:rPr>
              <w:t xml:space="preserve">, </w:t>
            </w:r>
            <w:proofErr w:type="spellStart"/>
            <w:r w:rsidRPr="008835A4">
              <w:rPr>
                <w:rFonts w:eastAsia="Times New Roman" w:cs="Calibri"/>
                <w:color w:val="000000"/>
                <w:sz w:val="18"/>
                <w:lang w:val="en-US" w:eastAsia="es-CL"/>
              </w:rPr>
              <w:t>Hamed</w:t>
            </w:r>
            <w:proofErr w:type="spellEnd"/>
            <w:r w:rsidRPr="008835A4">
              <w:rPr>
                <w:rFonts w:eastAsia="Times New Roman" w:cs="Calibri"/>
                <w:color w:val="000000"/>
                <w:sz w:val="18"/>
                <w:lang w:val="en-US" w:eastAsia="es-CL"/>
              </w:rPr>
              <w:t xml:space="preserve"> </w:t>
            </w:r>
            <w:proofErr w:type="spellStart"/>
            <w:r w:rsidRPr="008835A4">
              <w:rPr>
                <w:rFonts w:eastAsia="Times New Roman" w:cs="Calibri"/>
                <w:color w:val="000000"/>
                <w:sz w:val="18"/>
                <w:lang w:val="en-US" w:eastAsia="es-CL"/>
              </w:rPr>
              <w:t>Makian</w:t>
            </w:r>
            <w:proofErr w:type="spellEnd"/>
            <w:r w:rsidRPr="008835A4">
              <w:rPr>
                <w:rFonts w:eastAsia="Times New Roman" w:cs="Calibri"/>
                <w:color w:val="000000"/>
                <w:sz w:val="18"/>
                <w:lang w:val="en-US" w:eastAsia="es-CL"/>
              </w:rPr>
              <w:t>, Christian Breyer</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Nacional otro</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Estimación potencial para 4 topologías usando GIS, </w:t>
            </w:r>
            <w:proofErr w:type="spellStart"/>
            <w:r w:rsidRPr="008835A4">
              <w:rPr>
                <w:rFonts w:eastAsia="Times New Roman" w:cs="Calibri"/>
                <w:color w:val="000000"/>
                <w:sz w:val="18"/>
                <w:lang w:eastAsia="es-CL"/>
              </w:rPr>
              <w:t>rankea</w:t>
            </w:r>
            <w:proofErr w:type="spellEnd"/>
            <w:r w:rsidRPr="008835A4">
              <w:rPr>
                <w:rFonts w:eastAsia="Times New Roman" w:cs="Calibri"/>
                <w:color w:val="000000"/>
                <w:sz w:val="18"/>
                <w:lang w:eastAsia="es-CL"/>
              </w:rPr>
              <w:t xml:space="preserve"> los lugares factibles con </w:t>
            </w:r>
            <w:proofErr w:type="spellStart"/>
            <w:r w:rsidRPr="008835A4">
              <w:rPr>
                <w:rFonts w:eastAsia="Times New Roman" w:cs="Calibri"/>
                <w:color w:val="000000"/>
                <w:sz w:val="18"/>
                <w:lang w:eastAsia="es-CL"/>
              </w:rPr>
              <w:t>analisis</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multicriterio</w:t>
            </w:r>
            <w:proofErr w:type="spellEnd"/>
          </w:p>
        </w:tc>
      </w:tr>
      <w:tr w:rsidR="00696ECC" w:rsidRPr="008835A4" w:rsidTr="00696ECC">
        <w:trPr>
          <w:trHeight w:val="12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Geographic information system algorithms to locate prospective sites for pumped hydro energy storage</w:t>
            </w:r>
          </w:p>
        </w:tc>
        <w:tc>
          <w:tcPr>
            <w:tcW w:w="562"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Applied</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Energy</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Elsevier</w:t>
            </w:r>
            <w:proofErr w:type="spellEnd"/>
            <w:r w:rsidRPr="008835A4">
              <w:rPr>
                <w:rFonts w:eastAsia="Times New Roman" w:cs="Calibri"/>
                <w:color w:val="000000"/>
                <w:sz w:val="18"/>
                <w:lang w:eastAsia="es-CL"/>
              </w:rPr>
              <w:t>)</w:t>
            </w:r>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Publicación científica</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2018</w:t>
            </w:r>
          </w:p>
        </w:tc>
        <w:tc>
          <w:tcPr>
            <w:tcW w:w="561"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 xml:space="preserve">Bin Lu, Matthew Stocks, Andrew </w:t>
            </w:r>
            <w:proofErr w:type="spellStart"/>
            <w:r w:rsidRPr="008835A4">
              <w:rPr>
                <w:rFonts w:eastAsia="Times New Roman" w:cs="Calibri"/>
                <w:color w:val="000000"/>
                <w:sz w:val="18"/>
                <w:lang w:val="en-US" w:eastAsia="es-CL"/>
              </w:rPr>
              <w:t>Blakers</w:t>
            </w:r>
            <w:proofErr w:type="spellEnd"/>
            <w:r w:rsidRPr="008835A4">
              <w:rPr>
                <w:rFonts w:eastAsia="Times New Roman" w:cs="Calibri"/>
                <w:color w:val="000000"/>
                <w:sz w:val="18"/>
                <w:lang w:val="en-US" w:eastAsia="es-CL"/>
              </w:rPr>
              <w:t>, Kirsten Anderson</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Transversal</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Desarrolla algoritmos de información geográfica para determinar locaciones potenciales de CB en cuencas</w:t>
            </w:r>
          </w:p>
        </w:tc>
      </w:tr>
      <w:tr w:rsidR="00696ECC" w:rsidRPr="008835A4" w:rsidTr="00696ECC">
        <w:trPr>
          <w:trHeight w:val="15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lastRenderedPageBreak/>
              <w:t>3</w:t>
            </w:r>
          </w:p>
        </w:tc>
        <w:tc>
          <w:tcPr>
            <w:tcW w:w="120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Construcción de una propuesta de Plan Energético para la Región de Arica y Parinacota</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Subsecretaría de Energía</w:t>
            </w:r>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Estudio</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2017</w:t>
            </w:r>
          </w:p>
        </w:tc>
        <w:tc>
          <w:tcPr>
            <w:tcW w:w="56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Institucional</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Local Chile</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Presenta capítulo de determinación de zonas de aptitud energética para hidráulica de bombeo en la región de Arica</w:t>
            </w:r>
          </w:p>
        </w:tc>
      </w:tr>
      <w:tr w:rsidR="00696ECC" w:rsidRPr="008835A4" w:rsidTr="00696ECC">
        <w:trPr>
          <w:trHeight w:val="15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4</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90-100% renewable electricity for the South West Interconnected System of Western Australia</w:t>
            </w:r>
          </w:p>
        </w:tc>
        <w:tc>
          <w:tcPr>
            <w:tcW w:w="562"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Energy</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Elsevier</w:t>
            </w:r>
            <w:proofErr w:type="spellEnd"/>
            <w:r w:rsidRPr="008835A4">
              <w:rPr>
                <w:rFonts w:eastAsia="Times New Roman" w:cs="Calibri"/>
                <w:color w:val="000000"/>
                <w:sz w:val="18"/>
                <w:lang w:eastAsia="es-CL"/>
              </w:rPr>
              <w:t>)</w:t>
            </w:r>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Publicación científica</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2017</w:t>
            </w:r>
          </w:p>
        </w:tc>
        <w:tc>
          <w:tcPr>
            <w:tcW w:w="561"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 xml:space="preserve">Bin Lu, Andrew </w:t>
            </w:r>
            <w:proofErr w:type="spellStart"/>
            <w:r w:rsidRPr="008835A4">
              <w:rPr>
                <w:rFonts w:eastAsia="Times New Roman" w:cs="Calibri"/>
                <w:color w:val="000000"/>
                <w:sz w:val="18"/>
                <w:lang w:val="en-US" w:eastAsia="es-CL"/>
              </w:rPr>
              <w:t>Blakers</w:t>
            </w:r>
            <w:proofErr w:type="spellEnd"/>
            <w:r w:rsidRPr="008835A4">
              <w:rPr>
                <w:rFonts w:eastAsia="Times New Roman" w:cs="Calibri"/>
                <w:color w:val="000000"/>
                <w:sz w:val="18"/>
                <w:lang w:val="en-US" w:eastAsia="es-CL"/>
              </w:rPr>
              <w:t>, Matthew Stocks</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Local otro</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Modela escenarios de penetración de distintas tecnologías ERNC incluyendo centrales de bombeo, para el sistema oeste de Australia</w:t>
            </w:r>
          </w:p>
        </w:tc>
      </w:tr>
      <w:tr w:rsidR="00696ECC" w:rsidRPr="008835A4" w:rsidTr="00696ECC">
        <w:trPr>
          <w:trHeight w:val="15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5</w:t>
            </w:r>
          </w:p>
        </w:tc>
        <w:tc>
          <w:tcPr>
            <w:tcW w:w="120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100% </w:t>
            </w:r>
            <w:proofErr w:type="spellStart"/>
            <w:r w:rsidRPr="008835A4">
              <w:rPr>
                <w:rFonts w:eastAsia="Times New Roman" w:cs="Calibri"/>
                <w:color w:val="000000"/>
                <w:sz w:val="18"/>
                <w:lang w:eastAsia="es-CL"/>
              </w:rPr>
              <w:t>renewable</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electricity</w:t>
            </w:r>
            <w:proofErr w:type="spellEnd"/>
            <w:r w:rsidRPr="008835A4">
              <w:rPr>
                <w:rFonts w:eastAsia="Times New Roman" w:cs="Calibri"/>
                <w:color w:val="000000"/>
                <w:sz w:val="18"/>
                <w:lang w:eastAsia="es-CL"/>
              </w:rPr>
              <w:t xml:space="preserve"> in Australia</w:t>
            </w:r>
          </w:p>
        </w:tc>
        <w:tc>
          <w:tcPr>
            <w:tcW w:w="562"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Energy</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Elsevier</w:t>
            </w:r>
            <w:proofErr w:type="spellEnd"/>
            <w:r w:rsidRPr="008835A4">
              <w:rPr>
                <w:rFonts w:eastAsia="Times New Roman" w:cs="Calibri"/>
                <w:color w:val="000000"/>
                <w:sz w:val="18"/>
                <w:lang w:eastAsia="es-CL"/>
              </w:rPr>
              <w:t>)</w:t>
            </w:r>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Publicación científica</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2017</w:t>
            </w:r>
          </w:p>
        </w:tc>
        <w:tc>
          <w:tcPr>
            <w:tcW w:w="561"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 xml:space="preserve">Andrew </w:t>
            </w:r>
            <w:proofErr w:type="spellStart"/>
            <w:r w:rsidRPr="008835A4">
              <w:rPr>
                <w:rFonts w:eastAsia="Times New Roman" w:cs="Calibri"/>
                <w:color w:val="000000"/>
                <w:sz w:val="18"/>
                <w:lang w:val="en-US" w:eastAsia="es-CL"/>
              </w:rPr>
              <w:t>Blakers</w:t>
            </w:r>
            <w:proofErr w:type="spellEnd"/>
            <w:r w:rsidRPr="008835A4">
              <w:rPr>
                <w:rFonts w:eastAsia="Times New Roman" w:cs="Calibri"/>
                <w:color w:val="000000"/>
                <w:sz w:val="18"/>
                <w:lang w:val="en-US" w:eastAsia="es-CL"/>
              </w:rPr>
              <w:t>, Bin Lu, Matthew Stocks</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Nacional otro</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Modela escenarios de penetración de distintas tecnologías ERNC incluyendo centrales de bombeo, para el sistema nacional de Australia</w:t>
            </w:r>
          </w:p>
        </w:tc>
      </w:tr>
      <w:tr w:rsidR="00696ECC" w:rsidRPr="008835A4" w:rsidTr="00696ECC">
        <w:trPr>
          <w:trHeight w:val="18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6</w:t>
            </w:r>
          </w:p>
        </w:tc>
        <w:tc>
          <w:tcPr>
            <w:tcW w:w="120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Centrales hidroeléctricas de acumulación por bombeo solar con agua del mar</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GIZ</w:t>
            </w:r>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Estudio</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2016</w:t>
            </w:r>
          </w:p>
        </w:tc>
        <w:tc>
          <w:tcPr>
            <w:tcW w:w="56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Institucional</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Nacional Chile</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Estudio conceptual sobre centrales de bombeo con agua de mar para Chile, con reseñas sobre sus características, experiencias, diseño de piloto y costos</w:t>
            </w:r>
          </w:p>
        </w:tc>
      </w:tr>
      <w:tr w:rsidR="00696ECC" w:rsidRPr="008835A4" w:rsidTr="00696ECC">
        <w:trPr>
          <w:trHeight w:val="9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7</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An Evaluation of Seawater Pumped Hydro Storage for Regulating the Export of Renewable Energy to the National Grid</w:t>
            </w:r>
          </w:p>
        </w:tc>
        <w:tc>
          <w:tcPr>
            <w:tcW w:w="562"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Energy</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Procedia</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Elsevier</w:t>
            </w:r>
            <w:proofErr w:type="spellEnd"/>
            <w:r w:rsidRPr="008835A4">
              <w:rPr>
                <w:rFonts w:eastAsia="Times New Roman" w:cs="Calibri"/>
                <w:color w:val="000000"/>
                <w:sz w:val="18"/>
                <w:lang w:eastAsia="es-CL"/>
              </w:rPr>
              <w:t>)</w:t>
            </w:r>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Publicación científica</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2014</w:t>
            </w:r>
          </w:p>
        </w:tc>
        <w:tc>
          <w:tcPr>
            <w:tcW w:w="561"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Eoin</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McLean</w:t>
            </w:r>
            <w:proofErr w:type="spellEnd"/>
            <w:r w:rsidRPr="008835A4">
              <w:rPr>
                <w:rFonts w:eastAsia="Times New Roman" w:cs="Calibri"/>
                <w:color w:val="000000"/>
                <w:sz w:val="18"/>
                <w:lang w:eastAsia="es-CL"/>
              </w:rPr>
              <w:t>, Derek Kearney</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Local otro</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Evaluación para la instalación de una central de bombeo con agua de mar en Inglaterra</w:t>
            </w:r>
          </w:p>
        </w:tc>
      </w:tr>
      <w:tr w:rsidR="00696ECC" w:rsidRPr="008835A4" w:rsidTr="00696ECC">
        <w:trPr>
          <w:trHeight w:val="12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8</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Assessment of Opportunities for New United States Pumped Storage Hydroelectric Plants Using Existing Water Features as Auxiliary Reservoirs</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Idaho </w:t>
            </w:r>
            <w:proofErr w:type="spellStart"/>
            <w:r w:rsidRPr="008835A4">
              <w:rPr>
                <w:rFonts w:eastAsia="Times New Roman" w:cs="Calibri"/>
                <w:color w:val="000000"/>
                <w:sz w:val="18"/>
                <w:lang w:eastAsia="es-CL"/>
              </w:rPr>
              <w:t>National</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Laboratory</w:t>
            </w:r>
            <w:proofErr w:type="spellEnd"/>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Estudio</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2014</w:t>
            </w:r>
          </w:p>
        </w:tc>
        <w:tc>
          <w:tcPr>
            <w:tcW w:w="561"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Douglas G. Hall, Randy D. Lee</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Nacional otro</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Identificación de sitios para instalación de centrales de bombeo con plantas de ciclo cerrado a partir de topografía</w:t>
            </w:r>
          </w:p>
        </w:tc>
      </w:tr>
      <w:tr w:rsidR="00696ECC" w:rsidRPr="008835A4" w:rsidTr="00696ECC">
        <w:trPr>
          <w:trHeight w:val="9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9</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Assessment of the European potential for pumped hydropower energy storage</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Comisión Europea</w:t>
            </w:r>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Estudio</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2013</w:t>
            </w:r>
          </w:p>
        </w:tc>
        <w:tc>
          <w:tcPr>
            <w:tcW w:w="56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Marcos Gimeno-Gutiérrez, Roberto </w:t>
            </w:r>
            <w:proofErr w:type="spellStart"/>
            <w:r w:rsidRPr="008835A4">
              <w:rPr>
                <w:rFonts w:eastAsia="Times New Roman" w:cs="Calibri"/>
                <w:color w:val="000000"/>
                <w:sz w:val="18"/>
                <w:lang w:eastAsia="es-CL"/>
              </w:rPr>
              <w:t>Lacal-Arántegui</w:t>
            </w:r>
            <w:proofErr w:type="spellEnd"/>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Regional Europa</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Evaluación de potencial a partir de topografía para instalación de CB en Europa</w:t>
            </w:r>
          </w:p>
        </w:tc>
      </w:tr>
      <w:tr w:rsidR="00696ECC" w:rsidRPr="008835A4" w:rsidTr="00696ECC">
        <w:trPr>
          <w:trHeight w:val="9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10</w:t>
            </w:r>
          </w:p>
        </w:tc>
        <w:tc>
          <w:tcPr>
            <w:tcW w:w="1206"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Pumped</w:t>
            </w:r>
            <w:proofErr w:type="spellEnd"/>
            <w:r w:rsidRPr="008835A4">
              <w:rPr>
                <w:rFonts w:eastAsia="Times New Roman" w:cs="Calibri"/>
                <w:color w:val="000000"/>
                <w:sz w:val="18"/>
                <w:lang w:eastAsia="es-CL"/>
              </w:rPr>
              <w:t xml:space="preserve"> Storage </w:t>
            </w:r>
            <w:proofErr w:type="spellStart"/>
            <w:r w:rsidRPr="008835A4">
              <w:rPr>
                <w:rFonts w:eastAsia="Times New Roman" w:cs="Calibri"/>
                <w:color w:val="000000"/>
                <w:sz w:val="18"/>
                <w:lang w:eastAsia="es-CL"/>
              </w:rPr>
              <w:t>Report</w:t>
            </w:r>
            <w:proofErr w:type="spellEnd"/>
            <w:r w:rsidRPr="008835A4">
              <w:rPr>
                <w:rFonts w:eastAsia="Times New Roman" w:cs="Calibri"/>
                <w:color w:val="000000"/>
                <w:sz w:val="18"/>
                <w:lang w:eastAsia="es-CL"/>
              </w:rPr>
              <w:t xml:space="preserve"> 2018</w:t>
            </w:r>
          </w:p>
        </w:tc>
        <w:tc>
          <w:tcPr>
            <w:tcW w:w="562"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National</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Hydropower</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organization</w:t>
            </w:r>
            <w:proofErr w:type="spellEnd"/>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Estudio</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2018</w:t>
            </w:r>
          </w:p>
        </w:tc>
        <w:tc>
          <w:tcPr>
            <w:tcW w:w="56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Institucional</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Nacional otro y global</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White </w:t>
            </w:r>
            <w:proofErr w:type="spellStart"/>
            <w:r w:rsidRPr="008835A4">
              <w:rPr>
                <w:rFonts w:eastAsia="Times New Roman" w:cs="Calibri"/>
                <w:color w:val="000000"/>
                <w:sz w:val="18"/>
                <w:lang w:eastAsia="es-CL"/>
              </w:rPr>
              <w:t>paper</w:t>
            </w:r>
            <w:proofErr w:type="spellEnd"/>
            <w:r w:rsidRPr="008835A4">
              <w:rPr>
                <w:rFonts w:eastAsia="Times New Roman" w:cs="Calibri"/>
                <w:color w:val="000000"/>
                <w:sz w:val="18"/>
                <w:lang w:eastAsia="es-CL"/>
              </w:rPr>
              <w:t xml:space="preserve"> con antecedentes y recomendaciones para el desarrollo de CB</w:t>
            </w:r>
          </w:p>
        </w:tc>
      </w:tr>
      <w:tr w:rsidR="00696ECC" w:rsidRPr="008835A4" w:rsidTr="00696ECC">
        <w:trPr>
          <w:trHeight w:val="9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lastRenderedPageBreak/>
              <w:t>11</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Energy Storage Cost Summary for Utility Planning</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Electric </w:t>
            </w:r>
            <w:proofErr w:type="spellStart"/>
            <w:r w:rsidRPr="008835A4">
              <w:rPr>
                <w:rFonts w:eastAsia="Times New Roman" w:cs="Calibri"/>
                <w:color w:val="000000"/>
                <w:sz w:val="18"/>
                <w:lang w:eastAsia="es-CL"/>
              </w:rPr>
              <w:t>Power</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Research</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Institute</w:t>
            </w:r>
            <w:proofErr w:type="spellEnd"/>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Presentación</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2016</w:t>
            </w:r>
          </w:p>
        </w:tc>
        <w:tc>
          <w:tcPr>
            <w:tcW w:w="56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Institucional</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Transversal</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Datos de costos para distintas fuentes de almacenamiento de energía incluyendo CB</w:t>
            </w:r>
          </w:p>
        </w:tc>
      </w:tr>
      <w:tr w:rsidR="00696ECC" w:rsidRPr="008835A4" w:rsidTr="00696ECC">
        <w:trPr>
          <w:trHeight w:val="15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12</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Electricity Storage and renewables: Costs and markets to 2030</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International </w:t>
            </w:r>
            <w:proofErr w:type="spellStart"/>
            <w:r w:rsidRPr="008835A4">
              <w:rPr>
                <w:rFonts w:eastAsia="Times New Roman" w:cs="Calibri"/>
                <w:color w:val="000000"/>
                <w:sz w:val="18"/>
                <w:lang w:eastAsia="es-CL"/>
              </w:rPr>
              <w:t>Renewable</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Energy</w:t>
            </w:r>
            <w:proofErr w:type="spellEnd"/>
            <w:r w:rsidRPr="008835A4">
              <w:rPr>
                <w:rFonts w:eastAsia="Times New Roman" w:cs="Calibri"/>
                <w:color w:val="000000"/>
                <w:sz w:val="18"/>
                <w:lang w:eastAsia="es-CL"/>
              </w:rPr>
              <w:t xml:space="preserve"> Agency</w:t>
            </w:r>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Estudio</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2017</w:t>
            </w:r>
          </w:p>
        </w:tc>
        <w:tc>
          <w:tcPr>
            <w:tcW w:w="56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Institucional</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Transversal</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Antecedentes y prospectiva de costos y tecnologías disponibles para almacenamiento de energía incluyendo CB</w:t>
            </w:r>
          </w:p>
        </w:tc>
      </w:tr>
      <w:tr w:rsidR="00696ECC" w:rsidRPr="008835A4" w:rsidTr="00696ECC">
        <w:trPr>
          <w:trHeight w:val="6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13</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Pumped Storage and potential hydropower from conduits</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US </w:t>
            </w:r>
            <w:proofErr w:type="spellStart"/>
            <w:r w:rsidRPr="008835A4">
              <w:rPr>
                <w:rFonts w:eastAsia="Times New Roman" w:cs="Calibri"/>
                <w:color w:val="000000"/>
                <w:sz w:val="18"/>
                <w:lang w:eastAsia="es-CL"/>
              </w:rPr>
              <w:t>Department</w:t>
            </w:r>
            <w:proofErr w:type="spellEnd"/>
            <w:r w:rsidRPr="008835A4">
              <w:rPr>
                <w:rFonts w:eastAsia="Times New Roman" w:cs="Calibri"/>
                <w:color w:val="000000"/>
                <w:sz w:val="18"/>
                <w:lang w:eastAsia="es-CL"/>
              </w:rPr>
              <w:t xml:space="preserve"> of </w:t>
            </w:r>
            <w:proofErr w:type="spellStart"/>
            <w:r w:rsidRPr="008835A4">
              <w:rPr>
                <w:rFonts w:eastAsia="Times New Roman" w:cs="Calibri"/>
                <w:color w:val="000000"/>
                <w:sz w:val="18"/>
                <w:lang w:eastAsia="es-CL"/>
              </w:rPr>
              <w:t>Energy</w:t>
            </w:r>
            <w:proofErr w:type="spellEnd"/>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Estudio</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2015</w:t>
            </w:r>
          </w:p>
        </w:tc>
        <w:tc>
          <w:tcPr>
            <w:tcW w:w="56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Institucional</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Nacional otro</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Antecedentes y evaluación de potencial para CB </w:t>
            </w:r>
          </w:p>
        </w:tc>
      </w:tr>
      <w:tr w:rsidR="00696ECC" w:rsidRPr="008835A4" w:rsidTr="00696ECC">
        <w:trPr>
          <w:trHeight w:val="9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14</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The world’s water battery: Pumped hydropower storage and the clean energy transition</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International </w:t>
            </w:r>
            <w:proofErr w:type="spellStart"/>
            <w:r w:rsidRPr="008835A4">
              <w:rPr>
                <w:rFonts w:eastAsia="Times New Roman" w:cs="Calibri"/>
                <w:color w:val="000000"/>
                <w:sz w:val="18"/>
                <w:lang w:eastAsia="es-CL"/>
              </w:rPr>
              <w:t>Hydropower</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Association</w:t>
            </w:r>
            <w:proofErr w:type="spellEnd"/>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Estudio</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2018</w:t>
            </w:r>
          </w:p>
        </w:tc>
        <w:tc>
          <w:tcPr>
            <w:tcW w:w="56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Institucional</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Transversal</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Antecedentes sobre CB y recomendaciones de política pública</w:t>
            </w:r>
          </w:p>
        </w:tc>
      </w:tr>
      <w:tr w:rsidR="00696ECC" w:rsidRPr="008835A4" w:rsidTr="00696ECC">
        <w:trPr>
          <w:trHeight w:val="9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15</w:t>
            </w:r>
          </w:p>
        </w:tc>
        <w:tc>
          <w:tcPr>
            <w:tcW w:w="1206" w:type="pct"/>
            <w:noWrap/>
            <w:hideMark/>
          </w:tcPr>
          <w:p w:rsidR="008835A4" w:rsidRPr="008835A4" w:rsidRDefault="008835A4" w:rsidP="008835A4">
            <w:pPr>
              <w:jc w:val="left"/>
              <w:rPr>
                <w:rFonts w:eastAsia="Times New Roman" w:cs="Calibri"/>
                <w:color w:val="000000"/>
                <w:sz w:val="18"/>
                <w:lang w:val="en-US" w:eastAsia="es-CL"/>
              </w:rPr>
            </w:pPr>
            <w:proofErr w:type="spellStart"/>
            <w:r w:rsidRPr="008835A4">
              <w:rPr>
                <w:rFonts w:eastAsia="Times New Roman" w:cs="Calibri"/>
                <w:color w:val="000000"/>
                <w:sz w:val="18"/>
                <w:lang w:val="en-US" w:eastAsia="es-CL"/>
              </w:rPr>
              <w:t>Página</w:t>
            </w:r>
            <w:proofErr w:type="spellEnd"/>
            <w:r w:rsidRPr="008835A4">
              <w:rPr>
                <w:rFonts w:eastAsia="Times New Roman" w:cs="Calibri"/>
                <w:color w:val="000000"/>
                <w:sz w:val="18"/>
                <w:lang w:val="en-US" w:eastAsia="es-CL"/>
              </w:rPr>
              <w:t xml:space="preserve"> web "PSH Offshore Pumped-Storage of Hydroelectricity" </w:t>
            </w:r>
          </w:p>
        </w:tc>
        <w:tc>
          <w:tcPr>
            <w:tcW w:w="562"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 xml:space="preserve"> https://psh-offshore.com/en/introduction/?</w:t>
            </w:r>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Web</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2012</w:t>
            </w:r>
          </w:p>
        </w:tc>
        <w:tc>
          <w:tcPr>
            <w:tcW w:w="56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Thomas </w:t>
            </w:r>
            <w:proofErr w:type="spellStart"/>
            <w:r w:rsidRPr="008835A4">
              <w:rPr>
                <w:rFonts w:eastAsia="Times New Roman" w:cs="Calibri"/>
                <w:color w:val="000000"/>
                <w:sz w:val="18"/>
                <w:lang w:eastAsia="es-CL"/>
              </w:rPr>
              <w:t>Roos</w:t>
            </w:r>
            <w:proofErr w:type="spellEnd"/>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Transversal</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Descripción de componentes técnicos de sistemas CB con agua salada</w:t>
            </w:r>
          </w:p>
        </w:tc>
      </w:tr>
      <w:tr w:rsidR="00696ECC" w:rsidRPr="008835A4" w:rsidTr="00696ECC">
        <w:trPr>
          <w:trHeight w:val="15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16</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The future cost of electrical energy storage based on experience rates</w:t>
            </w:r>
          </w:p>
        </w:tc>
        <w:tc>
          <w:tcPr>
            <w:tcW w:w="562"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Nature</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Energy</w:t>
            </w:r>
            <w:proofErr w:type="spellEnd"/>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Publicación científica</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2017</w:t>
            </w:r>
          </w:p>
        </w:tc>
        <w:tc>
          <w:tcPr>
            <w:tcW w:w="561"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 xml:space="preserve">O. Schmidt, A. Hawkes, A. </w:t>
            </w:r>
            <w:proofErr w:type="spellStart"/>
            <w:r w:rsidRPr="008835A4">
              <w:rPr>
                <w:rFonts w:eastAsia="Times New Roman" w:cs="Calibri"/>
                <w:color w:val="000000"/>
                <w:sz w:val="18"/>
                <w:lang w:val="en-US" w:eastAsia="es-CL"/>
              </w:rPr>
              <w:t>Gambhir</w:t>
            </w:r>
            <w:proofErr w:type="spellEnd"/>
            <w:r w:rsidRPr="008835A4">
              <w:rPr>
                <w:rFonts w:eastAsia="Times New Roman" w:cs="Calibri"/>
                <w:color w:val="000000"/>
                <w:sz w:val="18"/>
                <w:lang w:val="en-US" w:eastAsia="es-CL"/>
              </w:rPr>
              <w:t xml:space="preserve"> and I. </w:t>
            </w:r>
            <w:proofErr w:type="spellStart"/>
            <w:r w:rsidRPr="008835A4">
              <w:rPr>
                <w:rFonts w:eastAsia="Times New Roman" w:cs="Calibri"/>
                <w:color w:val="000000"/>
                <w:sz w:val="18"/>
                <w:lang w:val="en-US" w:eastAsia="es-CL"/>
              </w:rPr>
              <w:t>Staffell</w:t>
            </w:r>
            <w:proofErr w:type="spellEnd"/>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Transversal</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Realiza una exploración de costos futuros de distintas alternativas de almacenamiento de energía incluyendo CB</w:t>
            </w:r>
          </w:p>
        </w:tc>
      </w:tr>
      <w:tr w:rsidR="00696ECC" w:rsidRPr="008835A4" w:rsidTr="00696ECC">
        <w:trPr>
          <w:trHeight w:val="15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17</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Technical details regarding the design, the construction and the operation of seawater pumped storage systems</w:t>
            </w:r>
          </w:p>
        </w:tc>
        <w:tc>
          <w:tcPr>
            <w:tcW w:w="562"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Energy</w:t>
            </w:r>
            <w:proofErr w:type="spellEnd"/>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Publicación científica</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2013</w:t>
            </w:r>
          </w:p>
        </w:tc>
        <w:tc>
          <w:tcPr>
            <w:tcW w:w="561"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Dimitris</w:t>
            </w:r>
            <w:proofErr w:type="spellEnd"/>
            <w:r w:rsidRPr="008835A4">
              <w:rPr>
                <w:rFonts w:eastAsia="Times New Roman" w:cs="Calibri"/>
                <w:color w:val="000000"/>
                <w:sz w:val="18"/>
                <w:lang w:eastAsia="es-CL"/>
              </w:rPr>
              <w:t xml:space="preserve"> Al. </w:t>
            </w:r>
            <w:proofErr w:type="spellStart"/>
            <w:r w:rsidRPr="008835A4">
              <w:rPr>
                <w:rFonts w:eastAsia="Times New Roman" w:cs="Calibri"/>
                <w:color w:val="000000"/>
                <w:sz w:val="18"/>
                <w:lang w:eastAsia="es-CL"/>
              </w:rPr>
              <w:t>Katsaprakakis</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Dimitris</w:t>
            </w:r>
            <w:proofErr w:type="spellEnd"/>
            <w:r w:rsidRPr="008835A4">
              <w:rPr>
                <w:rFonts w:eastAsia="Times New Roman" w:cs="Calibri"/>
                <w:color w:val="000000"/>
                <w:sz w:val="18"/>
                <w:lang w:eastAsia="es-CL"/>
              </w:rPr>
              <w:t xml:space="preserve"> G. </w:t>
            </w:r>
            <w:proofErr w:type="spellStart"/>
            <w:r w:rsidRPr="008835A4">
              <w:rPr>
                <w:rFonts w:eastAsia="Times New Roman" w:cs="Calibri"/>
                <w:color w:val="000000"/>
                <w:sz w:val="18"/>
                <w:lang w:eastAsia="es-CL"/>
              </w:rPr>
              <w:t>Christakis</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Ioannis</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Stefanakis</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Petros</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Spanos</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Nikos</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Stefanakis</w:t>
            </w:r>
            <w:proofErr w:type="spellEnd"/>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Local otro</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Determina detalles técnicos de CB con agua de mar en Islas de Grecia utilizando el caso de Okinawa como principal referencia</w:t>
            </w:r>
          </w:p>
        </w:tc>
      </w:tr>
      <w:tr w:rsidR="00696ECC" w:rsidRPr="008835A4" w:rsidTr="00696ECC">
        <w:trPr>
          <w:trHeight w:val="12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18</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Location selection of seawater pumped hydro storage station in China based on multi-attribute decision making</w:t>
            </w:r>
          </w:p>
        </w:tc>
        <w:tc>
          <w:tcPr>
            <w:tcW w:w="562"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Renewable</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Energy</w:t>
            </w:r>
            <w:proofErr w:type="spellEnd"/>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Publicación científica</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2019</w:t>
            </w:r>
          </w:p>
        </w:tc>
        <w:tc>
          <w:tcPr>
            <w:tcW w:w="561"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Yunna</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Wu</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Ting</w:t>
            </w:r>
            <w:proofErr w:type="spellEnd"/>
            <w:r w:rsidRPr="008835A4">
              <w:rPr>
                <w:rFonts w:eastAsia="Times New Roman" w:cs="Calibri"/>
                <w:color w:val="000000"/>
                <w:sz w:val="18"/>
                <w:lang w:eastAsia="es-CL"/>
              </w:rPr>
              <w:t xml:space="preserve"> Zhang, </w:t>
            </w:r>
            <w:proofErr w:type="spellStart"/>
            <w:r w:rsidRPr="008835A4">
              <w:rPr>
                <w:rFonts w:eastAsia="Times New Roman" w:cs="Calibri"/>
                <w:color w:val="000000"/>
                <w:sz w:val="18"/>
                <w:lang w:eastAsia="es-CL"/>
              </w:rPr>
              <w:t>Chuanbo</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Xu</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Xiaoyu</w:t>
            </w:r>
            <w:proofErr w:type="spellEnd"/>
            <w:r w:rsidRPr="008835A4">
              <w:rPr>
                <w:rFonts w:eastAsia="Times New Roman" w:cs="Calibri"/>
                <w:color w:val="000000"/>
                <w:sz w:val="18"/>
                <w:lang w:eastAsia="es-CL"/>
              </w:rPr>
              <w:t xml:space="preserve"> Zhang , </w:t>
            </w:r>
            <w:proofErr w:type="spellStart"/>
            <w:r w:rsidRPr="008835A4">
              <w:rPr>
                <w:rFonts w:eastAsia="Times New Roman" w:cs="Calibri"/>
                <w:color w:val="000000"/>
                <w:sz w:val="18"/>
                <w:lang w:eastAsia="es-CL"/>
              </w:rPr>
              <w:t>Yiming</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Ke</w:t>
            </w:r>
            <w:proofErr w:type="spellEnd"/>
            <w:r w:rsidRPr="008835A4">
              <w:rPr>
                <w:rFonts w:eastAsia="Times New Roman" w:cs="Calibri"/>
                <w:color w:val="000000"/>
                <w:sz w:val="18"/>
                <w:lang w:eastAsia="es-CL"/>
              </w:rPr>
              <w:t xml:space="preserve">, Han </w:t>
            </w:r>
            <w:proofErr w:type="spellStart"/>
            <w:r w:rsidRPr="008835A4">
              <w:rPr>
                <w:rFonts w:eastAsia="Times New Roman" w:cs="Calibri"/>
                <w:color w:val="000000"/>
                <w:sz w:val="18"/>
                <w:lang w:eastAsia="es-CL"/>
              </w:rPr>
              <w:t>Chu</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Ruhang</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Xu</w:t>
            </w:r>
            <w:proofErr w:type="spellEnd"/>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Nacional otro</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 xml:space="preserve">Determinación de potenciales lugares para la construcción de CB con agua de mar en base a decisión </w:t>
            </w:r>
            <w:proofErr w:type="spellStart"/>
            <w:r w:rsidRPr="008835A4">
              <w:rPr>
                <w:rFonts w:eastAsia="Times New Roman" w:cs="Calibri"/>
                <w:color w:val="000000"/>
                <w:sz w:val="18"/>
                <w:lang w:eastAsia="es-CL"/>
              </w:rPr>
              <w:t>multicriterio</w:t>
            </w:r>
            <w:proofErr w:type="spellEnd"/>
          </w:p>
        </w:tc>
      </w:tr>
      <w:tr w:rsidR="00696ECC" w:rsidRPr="008835A4" w:rsidTr="00696ECC">
        <w:trPr>
          <w:trHeight w:val="1200"/>
        </w:trPr>
        <w:tc>
          <w:tcPr>
            <w:tcW w:w="156"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19</w:t>
            </w:r>
          </w:p>
        </w:tc>
        <w:tc>
          <w:tcPr>
            <w:tcW w:w="1206" w:type="pct"/>
            <w:hideMark/>
          </w:tcPr>
          <w:p w:rsidR="008835A4" w:rsidRPr="008835A4" w:rsidRDefault="008835A4" w:rsidP="008835A4">
            <w:pPr>
              <w:jc w:val="left"/>
              <w:rPr>
                <w:rFonts w:eastAsia="Times New Roman" w:cs="Calibri"/>
                <w:color w:val="000000"/>
                <w:sz w:val="18"/>
                <w:lang w:val="en-US" w:eastAsia="es-CL"/>
              </w:rPr>
            </w:pPr>
            <w:r w:rsidRPr="008835A4">
              <w:rPr>
                <w:rFonts w:eastAsia="Times New Roman" w:cs="Calibri"/>
                <w:color w:val="000000"/>
                <w:sz w:val="18"/>
                <w:lang w:val="en-US" w:eastAsia="es-CL"/>
              </w:rPr>
              <w:t>Energy Storage Technology and Cost Characterization Report</w:t>
            </w:r>
          </w:p>
        </w:tc>
        <w:tc>
          <w:tcPr>
            <w:tcW w:w="562" w:type="pct"/>
            <w:hideMark/>
          </w:tcPr>
          <w:p w:rsidR="008835A4" w:rsidRPr="008835A4" w:rsidRDefault="008835A4" w:rsidP="008835A4">
            <w:pPr>
              <w:jc w:val="left"/>
              <w:rPr>
                <w:rFonts w:eastAsia="Times New Roman" w:cs="Calibri"/>
                <w:color w:val="000000"/>
                <w:sz w:val="18"/>
                <w:lang w:eastAsia="es-CL"/>
              </w:rPr>
            </w:pPr>
            <w:proofErr w:type="spellStart"/>
            <w:r w:rsidRPr="008835A4">
              <w:rPr>
                <w:rFonts w:eastAsia="Times New Roman" w:cs="Calibri"/>
                <w:color w:val="000000"/>
                <w:sz w:val="18"/>
                <w:lang w:eastAsia="es-CL"/>
              </w:rPr>
              <w:t>Pacific</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Northwest</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National</w:t>
            </w:r>
            <w:proofErr w:type="spellEnd"/>
            <w:r w:rsidRPr="008835A4">
              <w:rPr>
                <w:rFonts w:eastAsia="Times New Roman" w:cs="Calibri"/>
                <w:color w:val="000000"/>
                <w:sz w:val="18"/>
                <w:lang w:eastAsia="es-CL"/>
              </w:rPr>
              <w:t xml:space="preserve"> </w:t>
            </w:r>
            <w:proofErr w:type="spellStart"/>
            <w:r w:rsidRPr="008835A4">
              <w:rPr>
                <w:rFonts w:eastAsia="Times New Roman" w:cs="Calibri"/>
                <w:color w:val="000000"/>
                <w:sz w:val="18"/>
                <w:lang w:eastAsia="es-CL"/>
              </w:rPr>
              <w:t>Laboratory</w:t>
            </w:r>
            <w:proofErr w:type="spellEnd"/>
          </w:p>
        </w:tc>
        <w:tc>
          <w:tcPr>
            <w:tcW w:w="563"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Estudio</w:t>
            </w:r>
          </w:p>
        </w:tc>
        <w:tc>
          <w:tcPr>
            <w:tcW w:w="24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2019</w:t>
            </w:r>
          </w:p>
        </w:tc>
        <w:tc>
          <w:tcPr>
            <w:tcW w:w="561"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Institucional</w:t>
            </w:r>
          </w:p>
        </w:tc>
        <w:tc>
          <w:tcPr>
            <w:tcW w:w="562"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Transversal</w:t>
            </w:r>
          </w:p>
        </w:tc>
        <w:tc>
          <w:tcPr>
            <w:tcW w:w="1149" w:type="pct"/>
            <w:hideMark/>
          </w:tcPr>
          <w:p w:rsidR="008835A4" w:rsidRPr="008835A4" w:rsidRDefault="008835A4" w:rsidP="008835A4">
            <w:pPr>
              <w:jc w:val="left"/>
              <w:rPr>
                <w:rFonts w:eastAsia="Times New Roman" w:cs="Calibri"/>
                <w:color w:val="000000"/>
                <w:sz w:val="18"/>
                <w:lang w:eastAsia="es-CL"/>
              </w:rPr>
            </w:pPr>
            <w:r w:rsidRPr="008835A4">
              <w:rPr>
                <w:rFonts w:eastAsia="Times New Roman" w:cs="Calibri"/>
                <w:color w:val="000000"/>
                <w:sz w:val="18"/>
                <w:lang w:eastAsia="es-CL"/>
              </w:rPr>
              <w:t>Establece costos desagregados en base a revisión extensiva de todas las alternativas de almacenamiento de energía</w:t>
            </w:r>
          </w:p>
        </w:tc>
      </w:tr>
    </w:tbl>
    <w:p w:rsidR="008835A4" w:rsidRDefault="00C77974" w:rsidP="008835A4">
      <w:pPr>
        <w:spacing w:after="200" w:line="276" w:lineRule="auto"/>
      </w:pPr>
      <w:r>
        <w:lastRenderedPageBreak/>
        <w:t>Para cada uno de los documentos antes indicado</w:t>
      </w:r>
      <w:r w:rsidR="00D94E07">
        <w:t xml:space="preserve"> se hace una revisión de alcance, indicando los temas de interés del presente estudios sobre los cuáles se presenta información. Los resultados se presentan en la siguiente tabla:</w:t>
      </w:r>
    </w:p>
    <w:tbl>
      <w:tblPr>
        <w:tblStyle w:val="Tablaconcuadrcula"/>
        <w:tblW w:w="5000" w:type="pct"/>
        <w:tblLook w:val="04A0" w:firstRow="1" w:lastRow="0" w:firstColumn="1" w:lastColumn="0" w:noHBand="0" w:noVBand="1"/>
      </w:tblPr>
      <w:tblGrid>
        <w:gridCol w:w="1613"/>
        <w:gridCol w:w="1031"/>
        <w:gridCol w:w="1031"/>
        <w:gridCol w:w="1031"/>
        <w:gridCol w:w="1031"/>
        <w:gridCol w:w="1031"/>
        <w:gridCol w:w="1031"/>
        <w:gridCol w:w="1029"/>
      </w:tblGrid>
      <w:tr w:rsidR="00D94E07" w:rsidRPr="00D94E07" w:rsidTr="00D94E07">
        <w:trPr>
          <w:cantSplit/>
          <w:trHeight w:val="1335"/>
        </w:trPr>
        <w:tc>
          <w:tcPr>
            <w:tcW w:w="913" w:type="pct"/>
            <w:textDirection w:val="btLr"/>
            <w:hideMark/>
          </w:tcPr>
          <w:p w:rsidR="00D94E07" w:rsidRPr="00D94E07" w:rsidRDefault="00D94E07" w:rsidP="00D94E07">
            <w:pPr>
              <w:jc w:val="left"/>
              <w:rPr>
                <w:rFonts w:eastAsia="Times New Roman" w:cs="Calibri"/>
                <w:b/>
                <w:color w:val="000000"/>
                <w:sz w:val="18"/>
                <w:lang w:eastAsia="es-CL"/>
              </w:rPr>
            </w:pPr>
            <w:r w:rsidRPr="00D94E07">
              <w:rPr>
                <w:rFonts w:eastAsia="Times New Roman" w:cs="Calibri"/>
                <w:b/>
                <w:color w:val="000000"/>
                <w:sz w:val="18"/>
                <w:lang w:eastAsia="es-CL"/>
              </w:rPr>
              <w:t>#</w:t>
            </w:r>
            <w:r w:rsidR="001137F9" w:rsidRPr="001137F9">
              <w:rPr>
                <w:rFonts w:eastAsia="Times New Roman" w:cs="Calibri"/>
                <w:b/>
                <w:color w:val="000000"/>
                <w:sz w:val="18"/>
                <w:lang w:eastAsia="es-CL"/>
              </w:rPr>
              <w:t xml:space="preserve"> Documento</w:t>
            </w:r>
          </w:p>
        </w:tc>
        <w:tc>
          <w:tcPr>
            <w:tcW w:w="584" w:type="pct"/>
            <w:textDirection w:val="btLr"/>
            <w:hideMark/>
          </w:tcPr>
          <w:p w:rsidR="00D94E07" w:rsidRPr="00D94E07" w:rsidRDefault="00D94E07" w:rsidP="00D94E07">
            <w:pPr>
              <w:jc w:val="left"/>
              <w:rPr>
                <w:rFonts w:eastAsia="Times New Roman" w:cs="Calibri"/>
                <w:b/>
                <w:color w:val="000000"/>
                <w:sz w:val="18"/>
                <w:lang w:eastAsia="es-CL"/>
              </w:rPr>
            </w:pPr>
            <w:r w:rsidRPr="00D94E07">
              <w:rPr>
                <w:rFonts w:eastAsia="Times New Roman" w:cs="Calibri"/>
                <w:b/>
                <w:color w:val="000000"/>
                <w:sz w:val="18"/>
                <w:lang w:eastAsia="es-CL"/>
              </w:rPr>
              <w:t>Caracterización técnica</w:t>
            </w:r>
            <w:r w:rsidR="00CA1335">
              <w:rPr>
                <w:rFonts w:eastAsia="Times New Roman" w:cs="Calibri"/>
                <w:b/>
                <w:color w:val="000000"/>
                <w:sz w:val="18"/>
                <w:lang w:eastAsia="es-CL"/>
              </w:rPr>
              <w:t xml:space="preserve"> general</w:t>
            </w:r>
          </w:p>
        </w:tc>
        <w:tc>
          <w:tcPr>
            <w:tcW w:w="584" w:type="pct"/>
            <w:textDirection w:val="btLr"/>
            <w:hideMark/>
          </w:tcPr>
          <w:p w:rsidR="00D94E07" w:rsidRPr="00D94E07" w:rsidRDefault="00D94E07" w:rsidP="00D94E07">
            <w:pPr>
              <w:jc w:val="left"/>
              <w:rPr>
                <w:rFonts w:eastAsia="Times New Roman" w:cs="Calibri"/>
                <w:b/>
                <w:color w:val="000000"/>
                <w:sz w:val="18"/>
                <w:lang w:eastAsia="es-CL"/>
              </w:rPr>
            </w:pPr>
            <w:r w:rsidRPr="00D94E07">
              <w:rPr>
                <w:rFonts w:eastAsia="Times New Roman" w:cs="Calibri"/>
                <w:b/>
                <w:color w:val="000000"/>
                <w:sz w:val="18"/>
                <w:lang w:eastAsia="es-CL"/>
              </w:rPr>
              <w:t>Caracterización de costos</w:t>
            </w:r>
          </w:p>
        </w:tc>
        <w:tc>
          <w:tcPr>
            <w:tcW w:w="584" w:type="pct"/>
            <w:textDirection w:val="btLr"/>
            <w:hideMark/>
          </w:tcPr>
          <w:p w:rsidR="00D94E07" w:rsidRPr="00D94E07" w:rsidRDefault="00D94E07" w:rsidP="00D94E07">
            <w:pPr>
              <w:jc w:val="left"/>
              <w:rPr>
                <w:rFonts w:eastAsia="Times New Roman" w:cs="Calibri"/>
                <w:b/>
                <w:color w:val="000000"/>
                <w:sz w:val="18"/>
                <w:lang w:eastAsia="es-CL"/>
              </w:rPr>
            </w:pPr>
            <w:r w:rsidRPr="00D94E07">
              <w:rPr>
                <w:rFonts w:eastAsia="Times New Roman" w:cs="Calibri"/>
                <w:b/>
                <w:color w:val="000000"/>
                <w:sz w:val="18"/>
                <w:lang w:eastAsia="es-CL"/>
              </w:rPr>
              <w:t>Aspectos Socio</w:t>
            </w:r>
            <w:r w:rsidRPr="001137F9">
              <w:rPr>
                <w:rFonts w:eastAsia="Times New Roman" w:cs="Calibri"/>
                <w:b/>
                <w:color w:val="000000"/>
                <w:sz w:val="18"/>
                <w:lang w:eastAsia="es-CL"/>
              </w:rPr>
              <w:t xml:space="preserve"> </w:t>
            </w:r>
            <w:r w:rsidRPr="00D94E07">
              <w:rPr>
                <w:rFonts w:eastAsia="Times New Roman" w:cs="Calibri"/>
                <w:b/>
                <w:color w:val="000000"/>
                <w:sz w:val="18"/>
                <w:lang w:eastAsia="es-CL"/>
              </w:rPr>
              <w:t>ambientales</w:t>
            </w:r>
          </w:p>
        </w:tc>
        <w:tc>
          <w:tcPr>
            <w:tcW w:w="584" w:type="pct"/>
            <w:textDirection w:val="btLr"/>
            <w:hideMark/>
          </w:tcPr>
          <w:p w:rsidR="00D94E07" w:rsidRPr="00D94E07" w:rsidRDefault="00D94E07" w:rsidP="00D94E07">
            <w:pPr>
              <w:jc w:val="left"/>
              <w:rPr>
                <w:rFonts w:eastAsia="Times New Roman" w:cs="Calibri"/>
                <w:b/>
                <w:color w:val="000000"/>
                <w:sz w:val="18"/>
                <w:lang w:eastAsia="es-CL"/>
              </w:rPr>
            </w:pPr>
            <w:r w:rsidRPr="00D94E07">
              <w:rPr>
                <w:rFonts w:eastAsia="Times New Roman" w:cs="Calibri"/>
                <w:b/>
                <w:color w:val="000000"/>
                <w:sz w:val="18"/>
                <w:lang w:eastAsia="es-CL"/>
              </w:rPr>
              <w:t>Antecedentes internacionales</w:t>
            </w:r>
          </w:p>
        </w:tc>
        <w:tc>
          <w:tcPr>
            <w:tcW w:w="584" w:type="pct"/>
            <w:textDirection w:val="btLr"/>
            <w:hideMark/>
          </w:tcPr>
          <w:p w:rsidR="00D94E07" w:rsidRPr="00D94E07" w:rsidRDefault="00D94E07" w:rsidP="00D94E07">
            <w:pPr>
              <w:jc w:val="left"/>
              <w:rPr>
                <w:rFonts w:eastAsia="Times New Roman" w:cs="Calibri"/>
                <w:b/>
                <w:color w:val="000000"/>
                <w:sz w:val="18"/>
                <w:lang w:eastAsia="es-CL"/>
              </w:rPr>
            </w:pPr>
            <w:r w:rsidRPr="00D94E07">
              <w:rPr>
                <w:rFonts w:eastAsia="Times New Roman" w:cs="Calibri"/>
                <w:b/>
                <w:color w:val="000000"/>
                <w:sz w:val="18"/>
                <w:lang w:eastAsia="es-CL"/>
              </w:rPr>
              <w:t>Antecedentes nacionales</w:t>
            </w:r>
          </w:p>
        </w:tc>
        <w:tc>
          <w:tcPr>
            <w:tcW w:w="584" w:type="pct"/>
            <w:textDirection w:val="btLr"/>
            <w:hideMark/>
          </w:tcPr>
          <w:p w:rsidR="00D94E07" w:rsidRPr="00D94E07" w:rsidRDefault="00D94E07" w:rsidP="00D94E07">
            <w:pPr>
              <w:jc w:val="left"/>
              <w:rPr>
                <w:rFonts w:eastAsia="Times New Roman" w:cs="Calibri"/>
                <w:b/>
                <w:color w:val="000000"/>
                <w:sz w:val="18"/>
                <w:lang w:eastAsia="es-CL"/>
              </w:rPr>
            </w:pPr>
            <w:r w:rsidRPr="00D94E07">
              <w:rPr>
                <w:rFonts w:eastAsia="Times New Roman" w:cs="Calibri"/>
                <w:b/>
                <w:color w:val="000000"/>
                <w:sz w:val="18"/>
                <w:lang w:eastAsia="es-CL"/>
              </w:rPr>
              <w:t>Caracterización técnica casos agua de mar</w:t>
            </w:r>
          </w:p>
        </w:tc>
        <w:tc>
          <w:tcPr>
            <w:tcW w:w="584" w:type="pct"/>
            <w:textDirection w:val="btLr"/>
            <w:hideMark/>
          </w:tcPr>
          <w:p w:rsidR="00D94E07" w:rsidRPr="00D94E07" w:rsidRDefault="00D94E07" w:rsidP="00D94E07">
            <w:pPr>
              <w:jc w:val="left"/>
              <w:rPr>
                <w:rFonts w:eastAsia="Times New Roman" w:cs="Calibri"/>
                <w:b/>
                <w:color w:val="000000"/>
                <w:sz w:val="18"/>
                <w:lang w:eastAsia="es-CL"/>
              </w:rPr>
            </w:pPr>
            <w:r w:rsidRPr="00D94E07">
              <w:rPr>
                <w:rFonts w:eastAsia="Times New Roman" w:cs="Calibri"/>
                <w:b/>
                <w:color w:val="000000"/>
                <w:sz w:val="18"/>
                <w:lang w:eastAsia="es-CL"/>
              </w:rPr>
              <w:t>Criterios potencial</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2</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3</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4</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5</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6</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7</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8</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9</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10</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11</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12</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13</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14</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15</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16</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17</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18</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r>
      <w:tr w:rsidR="00D94E07" w:rsidRPr="00D94E07" w:rsidTr="00D94E07">
        <w:trPr>
          <w:cantSplit/>
          <w:trHeight w:val="20"/>
        </w:trPr>
        <w:tc>
          <w:tcPr>
            <w:tcW w:w="913"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19</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si</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c>
          <w:tcPr>
            <w:tcW w:w="584" w:type="pct"/>
            <w:hideMark/>
          </w:tcPr>
          <w:p w:rsidR="00D94E07" w:rsidRPr="00D94E07" w:rsidRDefault="00D94E07" w:rsidP="00D94E07">
            <w:pPr>
              <w:jc w:val="left"/>
              <w:rPr>
                <w:rFonts w:eastAsia="Times New Roman" w:cs="Calibri"/>
                <w:color w:val="000000"/>
                <w:sz w:val="18"/>
                <w:lang w:eastAsia="es-CL"/>
              </w:rPr>
            </w:pPr>
            <w:r w:rsidRPr="00D94E07">
              <w:rPr>
                <w:rFonts w:eastAsia="Times New Roman" w:cs="Calibri"/>
                <w:color w:val="000000"/>
                <w:sz w:val="18"/>
                <w:lang w:eastAsia="es-CL"/>
              </w:rPr>
              <w:t>no</w:t>
            </w:r>
          </w:p>
        </w:tc>
      </w:tr>
      <w:tr w:rsidR="00D94E07" w:rsidRPr="00D94E07" w:rsidTr="00D94E07">
        <w:trPr>
          <w:cantSplit/>
          <w:trHeight w:val="20"/>
        </w:trPr>
        <w:tc>
          <w:tcPr>
            <w:tcW w:w="913" w:type="pct"/>
            <w:hideMark/>
          </w:tcPr>
          <w:p w:rsidR="00D94E07" w:rsidRPr="00D94E07" w:rsidRDefault="00D94E07" w:rsidP="00D94E07">
            <w:pPr>
              <w:jc w:val="left"/>
              <w:rPr>
                <w:rFonts w:eastAsia="Times New Roman" w:cs="Calibri"/>
                <w:b/>
                <w:color w:val="000000"/>
                <w:sz w:val="18"/>
                <w:lang w:eastAsia="es-CL"/>
              </w:rPr>
            </w:pPr>
            <w:r w:rsidRPr="00D94E07">
              <w:rPr>
                <w:rFonts w:eastAsia="Times New Roman" w:cs="Calibri"/>
                <w:b/>
                <w:color w:val="000000"/>
                <w:sz w:val="18"/>
                <w:lang w:eastAsia="es-CL"/>
              </w:rPr>
              <w:t>TOTAL</w:t>
            </w:r>
          </w:p>
        </w:tc>
        <w:tc>
          <w:tcPr>
            <w:tcW w:w="584"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10</w:t>
            </w:r>
          </w:p>
        </w:tc>
        <w:tc>
          <w:tcPr>
            <w:tcW w:w="584"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13</w:t>
            </w:r>
          </w:p>
        </w:tc>
        <w:tc>
          <w:tcPr>
            <w:tcW w:w="584"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7</w:t>
            </w:r>
          </w:p>
        </w:tc>
        <w:tc>
          <w:tcPr>
            <w:tcW w:w="584"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6</w:t>
            </w:r>
          </w:p>
        </w:tc>
        <w:tc>
          <w:tcPr>
            <w:tcW w:w="584"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2</w:t>
            </w:r>
          </w:p>
        </w:tc>
        <w:tc>
          <w:tcPr>
            <w:tcW w:w="584"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3</w:t>
            </w:r>
          </w:p>
        </w:tc>
        <w:tc>
          <w:tcPr>
            <w:tcW w:w="584" w:type="pct"/>
            <w:hideMark/>
          </w:tcPr>
          <w:p w:rsidR="00D94E07" w:rsidRPr="00D94E07" w:rsidRDefault="00D94E07" w:rsidP="00D94E07">
            <w:pPr>
              <w:jc w:val="right"/>
              <w:rPr>
                <w:rFonts w:eastAsia="Times New Roman" w:cs="Calibri"/>
                <w:b/>
                <w:color w:val="000000"/>
                <w:sz w:val="18"/>
                <w:lang w:eastAsia="es-CL"/>
              </w:rPr>
            </w:pPr>
            <w:r w:rsidRPr="00D94E07">
              <w:rPr>
                <w:rFonts w:eastAsia="Times New Roman" w:cs="Calibri"/>
                <w:b/>
                <w:color w:val="000000"/>
                <w:sz w:val="18"/>
                <w:lang w:eastAsia="es-CL"/>
              </w:rPr>
              <w:t>6</w:t>
            </w:r>
          </w:p>
        </w:tc>
      </w:tr>
    </w:tbl>
    <w:p w:rsidR="00D94E07" w:rsidRDefault="00D94E07" w:rsidP="008835A4">
      <w:pPr>
        <w:spacing w:after="200" w:line="276" w:lineRule="auto"/>
      </w:pPr>
    </w:p>
    <w:p w:rsidR="00CA1335" w:rsidRDefault="00CA1335" w:rsidP="008835A4">
      <w:pPr>
        <w:spacing w:after="200" w:line="276" w:lineRule="auto"/>
      </w:pPr>
      <w:r>
        <w:t>A continuación se presentan las conclusiones en cada uno de los ítems previamente señalados.</w:t>
      </w:r>
    </w:p>
    <w:p w:rsidR="00CA1335" w:rsidRDefault="00CA1335" w:rsidP="00945642">
      <w:pPr>
        <w:pStyle w:val="Prrafodelista"/>
        <w:numPr>
          <w:ilvl w:val="0"/>
          <w:numId w:val="3"/>
        </w:numPr>
        <w:spacing w:after="200" w:line="276" w:lineRule="auto"/>
      </w:pPr>
      <w:r w:rsidRPr="002F6FDB">
        <w:t>Antecedentes</w:t>
      </w:r>
      <w:r w:rsidR="00003CD5">
        <w:t xml:space="preserve"> internacionales e</w:t>
      </w:r>
      <w:r w:rsidRPr="002F6FDB">
        <w:t xml:space="preserve"> históricos del desarrollo de centrales de bombeo en el contexto mundial.</w:t>
      </w:r>
    </w:p>
    <w:p w:rsidR="00CA1335" w:rsidRDefault="00003CD5" w:rsidP="00CA1335">
      <w:pPr>
        <w:spacing w:after="200" w:line="276" w:lineRule="auto"/>
      </w:pPr>
      <w:r>
        <w:t xml:space="preserve">La tecnología de centrales de bombeo tiene una larga data de experiencias exitosas a nivel mundial. Con los antecedentes más antiguos remontándose al año 1882 en </w:t>
      </w:r>
      <w:proofErr w:type="spellStart"/>
      <w:r>
        <w:t>Zurich</w:t>
      </w:r>
      <w:proofErr w:type="spellEnd"/>
      <w:r>
        <w:t xml:space="preserve"> Suiza con un proyecto que estuvo operativo por 10 años. Ya en la década de los años 20 comienzan a instalarse en distintas partes del mundo con proyectos formales y un </w:t>
      </w:r>
      <w:proofErr w:type="spellStart"/>
      <w:r>
        <w:t>peak</w:t>
      </w:r>
      <w:proofErr w:type="spellEnd"/>
      <w:r>
        <w:t xml:space="preserve"> de nuevos proyectos entre los años 60 y 80 muestran que se trata de una tecnología ampliamente explorada,  probada y comercial. En la última década China entra con fuerza en la instalación de nuevos proyectos con esta tecnología, según se observa en la siguiente figura.</w:t>
      </w:r>
    </w:p>
    <w:p w:rsidR="00003CD5" w:rsidRDefault="00003CD5" w:rsidP="00003CD5">
      <w:pPr>
        <w:keepNext/>
        <w:spacing w:after="200" w:line="276" w:lineRule="auto"/>
      </w:pPr>
      <w:r>
        <w:rPr>
          <w:noProof/>
          <w:lang w:eastAsia="es-CL"/>
        </w:rPr>
        <w:lastRenderedPageBreak/>
        <w:drawing>
          <wp:inline distT="0" distB="0" distL="0" distR="0" wp14:anchorId="01180FE9">
            <wp:extent cx="5467350" cy="32662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r="6383"/>
                    <a:stretch/>
                  </pic:blipFill>
                  <pic:spPr bwMode="auto">
                    <a:xfrm>
                      <a:off x="0" y="0"/>
                      <a:ext cx="5475911" cy="3271324"/>
                    </a:xfrm>
                    <a:prstGeom prst="rect">
                      <a:avLst/>
                    </a:prstGeom>
                    <a:noFill/>
                    <a:ln>
                      <a:noFill/>
                    </a:ln>
                    <a:extLst>
                      <a:ext uri="{53640926-AAD7-44D8-BBD7-CCE9431645EC}">
                        <a14:shadowObscured xmlns:a14="http://schemas.microsoft.com/office/drawing/2010/main"/>
                      </a:ext>
                    </a:extLst>
                  </pic:spPr>
                </pic:pic>
              </a:graphicData>
            </a:graphic>
          </wp:inline>
        </w:drawing>
      </w:r>
    </w:p>
    <w:p w:rsidR="00003CD5" w:rsidRDefault="00003CD5" w:rsidP="00003CD5">
      <w:pPr>
        <w:pStyle w:val="Descripcin"/>
        <w:jc w:val="center"/>
      </w:pPr>
      <w:r>
        <w:t xml:space="preserve">Ilustración </w:t>
      </w:r>
      <w:r w:rsidR="00BB45A4">
        <w:rPr>
          <w:noProof/>
        </w:rPr>
        <w:fldChar w:fldCharType="begin"/>
      </w:r>
      <w:r w:rsidR="00BB45A4">
        <w:rPr>
          <w:noProof/>
        </w:rPr>
        <w:instrText xml:space="preserve"> SEQ Ilustración \* ARABIC </w:instrText>
      </w:r>
      <w:r w:rsidR="00BB45A4">
        <w:rPr>
          <w:noProof/>
        </w:rPr>
        <w:fldChar w:fldCharType="separate"/>
      </w:r>
      <w:r w:rsidR="000F505A">
        <w:rPr>
          <w:noProof/>
        </w:rPr>
        <w:t>1</w:t>
      </w:r>
      <w:r w:rsidR="00BB45A4">
        <w:rPr>
          <w:noProof/>
        </w:rPr>
        <w:fldChar w:fldCharType="end"/>
      </w:r>
      <w:r w:rsidRPr="00003CD5">
        <w:t xml:space="preserve"> </w:t>
      </w:r>
      <w:r>
        <w:t>Proyectos de Centrales de bombeo Instalados. Fuente: IHA 2018</w:t>
      </w:r>
    </w:p>
    <w:p w:rsidR="00F543BA" w:rsidRPr="00F543BA" w:rsidRDefault="00F543BA" w:rsidP="00F543BA">
      <w:r>
        <w:t xml:space="preserve">En relación a antecedentes históricos de proyectos operando con agua de mar, el único proyecto de estas características instalado a la fecha corresponde a la estación </w:t>
      </w:r>
      <w:proofErr w:type="spellStart"/>
      <w:r>
        <w:t>Yanbaru</w:t>
      </w:r>
      <w:proofErr w:type="spellEnd"/>
      <w:r>
        <w:t xml:space="preserve"> de Okinawa, </w:t>
      </w:r>
      <w:r w:rsidR="008F3E43">
        <w:t xml:space="preserve">planta de 30 MW </w:t>
      </w:r>
      <w:r>
        <w:t>instalada el año 1999 la que operó correctamente durante 14 años.</w:t>
      </w:r>
    </w:p>
    <w:p w:rsidR="00F543BA" w:rsidRPr="00071387" w:rsidRDefault="00F543BA" w:rsidP="00071387"/>
    <w:p w:rsidR="00CA1335" w:rsidRDefault="00CA1335" w:rsidP="00CA1335">
      <w:pPr>
        <w:pStyle w:val="Prrafodelista"/>
        <w:numPr>
          <w:ilvl w:val="0"/>
          <w:numId w:val="3"/>
        </w:numPr>
        <w:spacing w:after="200" w:line="276" w:lineRule="auto"/>
      </w:pPr>
      <w:r w:rsidRPr="002F6FDB">
        <w:t xml:space="preserve">Antecedentes de la experiencia nacional de centrales </w:t>
      </w:r>
      <w:r>
        <w:t>de bombeo</w:t>
      </w:r>
    </w:p>
    <w:p w:rsidR="00CA1335" w:rsidRDefault="008F3E43" w:rsidP="00CA1335">
      <w:pPr>
        <w:spacing w:after="200" w:line="276" w:lineRule="auto"/>
      </w:pPr>
      <w:r>
        <w:t xml:space="preserve">A nivel nacional el proyecto “Espejo de Tarapacá”, el cual está en etapas de planificación, corresponde a un caso emblemático ampliamente citado en distintas referencias revisadas con un tamaño proyectado de 300 MW, sin embargo por tratarse de un proyecto en vías de desarrollo no se cuenta con antecedentes detallados que permitan caracterizarlo. </w:t>
      </w:r>
    </w:p>
    <w:p w:rsidR="008F3E43" w:rsidRDefault="00DF75E9" w:rsidP="00CA1335">
      <w:pPr>
        <w:spacing w:after="200" w:line="276" w:lineRule="auto"/>
      </w:pPr>
      <w:r>
        <w:t>En cuanto a estudios prospectivos, el año 2016 se publica el estudio “</w:t>
      </w:r>
      <w:r w:rsidRPr="00DF75E9">
        <w:t>Centrales hidroeléctricas de acumulación por bombeo solar con agua del mar</w:t>
      </w:r>
      <w:r>
        <w:t>” el que hace una caracterización conceptual de posibles proyectos a realizarse en Chile, identificando algunas zonas atractivas en el norte de chile y evaluando un caso de estudio de 27,5 MW, con resultados costo-efectivos.</w:t>
      </w:r>
    </w:p>
    <w:p w:rsidR="00CA1335" w:rsidRDefault="00CA1335" w:rsidP="00CA1335">
      <w:pPr>
        <w:pStyle w:val="Prrafodelista"/>
        <w:numPr>
          <w:ilvl w:val="0"/>
          <w:numId w:val="3"/>
        </w:numPr>
        <w:spacing w:after="200" w:line="276" w:lineRule="auto"/>
      </w:pPr>
      <w:r>
        <w:t>C</w:t>
      </w:r>
      <w:r w:rsidRPr="002F6FDB">
        <w:t>urvas de aprendizaje y proyección internacional de la tecnología.</w:t>
      </w:r>
    </w:p>
    <w:p w:rsidR="00CA1335" w:rsidRDefault="00CA1335" w:rsidP="00CA1335">
      <w:pPr>
        <w:pStyle w:val="Prrafodelista"/>
      </w:pPr>
    </w:p>
    <w:p w:rsidR="00CA1335" w:rsidRDefault="00B7389D" w:rsidP="00CA1335">
      <w:pPr>
        <w:spacing w:after="200" w:line="276" w:lineRule="auto"/>
      </w:pPr>
      <w:r>
        <w:t>Distintos documentos presentan curvas de aprendizaje de centrales de bombeo, analizadas desde la perspectiva comparativa con otras tecnologías de almacenamiento de energía. En este sentido, la tecnología se posiciona en una etapa madura de desarrollo a</w:t>
      </w:r>
      <w:r w:rsidR="00823CE0">
        <w:t xml:space="preserve"> nivel </w:t>
      </w:r>
      <w:r w:rsidR="00823CE0">
        <w:lastRenderedPageBreak/>
        <w:t>internacional. El siguiente cuadro presenta una línea de desarrollo de distintas tecnologías en un gráfico comparativo de precios por capacidad nominal de energía y la capacidad nominal instalada</w:t>
      </w:r>
    </w:p>
    <w:p w:rsidR="00823CE0" w:rsidRDefault="00823CE0" w:rsidP="00823CE0">
      <w:pPr>
        <w:keepNext/>
        <w:spacing w:after="200" w:line="276" w:lineRule="auto"/>
      </w:pPr>
      <w:r>
        <w:rPr>
          <w:noProof/>
          <w:lang w:eastAsia="es-CL"/>
        </w:rPr>
        <w:drawing>
          <wp:inline distT="0" distB="0" distL="0" distR="0" wp14:anchorId="65308479" wp14:editId="72BB0D04">
            <wp:extent cx="5478329" cy="2733675"/>
            <wp:effectExtent l="0" t="0" r="825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6"/>
                    <a:srcRect l="5601" r="9708" b="33741"/>
                    <a:stretch/>
                  </pic:blipFill>
                  <pic:spPr bwMode="auto">
                    <a:xfrm>
                      <a:off x="0" y="0"/>
                      <a:ext cx="5482933" cy="2735972"/>
                    </a:xfrm>
                    <a:prstGeom prst="rect">
                      <a:avLst/>
                    </a:prstGeom>
                    <a:ln>
                      <a:noFill/>
                    </a:ln>
                    <a:extLst>
                      <a:ext uri="{53640926-AAD7-44D8-BBD7-CCE9431645EC}">
                        <a14:shadowObscured xmlns:a14="http://schemas.microsoft.com/office/drawing/2010/main"/>
                      </a:ext>
                    </a:extLst>
                  </pic:spPr>
                </pic:pic>
              </a:graphicData>
            </a:graphic>
          </wp:inline>
        </w:drawing>
      </w:r>
    </w:p>
    <w:p w:rsidR="00823CE0" w:rsidRDefault="00823CE0" w:rsidP="00823CE0">
      <w:pPr>
        <w:pStyle w:val="Descripcin"/>
        <w:jc w:val="center"/>
      </w:pPr>
      <w:r>
        <w:t xml:space="preserve">Ilustración </w:t>
      </w:r>
      <w:r>
        <w:fldChar w:fldCharType="begin"/>
      </w:r>
      <w:r>
        <w:instrText xml:space="preserve"> SEQ Ilustración \* ARABIC </w:instrText>
      </w:r>
      <w:r>
        <w:fldChar w:fldCharType="separate"/>
      </w:r>
      <w:r w:rsidR="000F505A">
        <w:rPr>
          <w:noProof/>
        </w:rPr>
        <w:t>2</w:t>
      </w:r>
      <w:r>
        <w:fldChar w:fldCharType="end"/>
      </w:r>
      <w:r>
        <w:t xml:space="preserve"> Grado de madurez tecnológica de distintas alternativas de almacenamiento de energía. Fuente: </w:t>
      </w:r>
      <w:proofErr w:type="spellStart"/>
      <w:r>
        <w:t>Nature</w:t>
      </w:r>
      <w:proofErr w:type="spellEnd"/>
      <w:r>
        <w:t xml:space="preserve"> 2017.</w:t>
      </w:r>
    </w:p>
    <w:p w:rsidR="00823CE0" w:rsidRDefault="00823CE0" w:rsidP="00823CE0">
      <w:r>
        <w:t>Junto a lo anterior se espera un crecimiento de la capacidad instalada asociado a nuevos proyectos, tanto aprobados como proyectos en construcción, manteniendo por los próximos 10 años una tasa similar a la del crecimiento de los últimos 10 años, según se observa en la siguiente figura.</w:t>
      </w:r>
    </w:p>
    <w:p w:rsidR="00823CE0" w:rsidRDefault="00823CE0" w:rsidP="00823CE0">
      <w:r>
        <w:rPr>
          <w:noProof/>
          <w:lang w:eastAsia="es-CL"/>
        </w:rPr>
        <w:drawing>
          <wp:inline distT="0" distB="0" distL="0" distR="0" wp14:anchorId="6410B90C" wp14:editId="7097E709">
            <wp:extent cx="5586639" cy="3185160"/>
            <wp:effectExtent l="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7"/>
                    <a:srcRect r="2241"/>
                    <a:stretch/>
                  </pic:blipFill>
                  <pic:spPr bwMode="auto">
                    <a:xfrm>
                      <a:off x="0" y="0"/>
                      <a:ext cx="5590229" cy="3187207"/>
                    </a:xfrm>
                    <a:prstGeom prst="rect">
                      <a:avLst/>
                    </a:prstGeom>
                    <a:ln>
                      <a:noFill/>
                    </a:ln>
                    <a:extLst>
                      <a:ext uri="{53640926-AAD7-44D8-BBD7-CCE9431645EC}">
                        <a14:shadowObscured xmlns:a14="http://schemas.microsoft.com/office/drawing/2010/main"/>
                      </a:ext>
                    </a:extLst>
                  </pic:spPr>
                </pic:pic>
              </a:graphicData>
            </a:graphic>
          </wp:inline>
        </w:drawing>
      </w:r>
    </w:p>
    <w:p w:rsidR="00823CE0" w:rsidRDefault="00823CE0" w:rsidP="00823CE0">
      <w:pPr>
        <w:pStyle w:val="Descripcin"/>
        <w:jc w:val="center"/>
      </w:pPr>
      <w:r>
        <w:t xml:space="preserve">Ilustración </w:t>
      </w:r>
      <w:r>
        <w:fldChar w:fldCharType="begin"/>
      </w:r>
      <w:r>
        <w:instrText xml:space="preserve"> SEQ Ilustración \* ARABIC </w:instrText>
      </w:r>
      <w:r>
        <w:fldChar w:fldCharType="separate"/>
      </w:r>
      <w:r w:rsidR="000F505A">
        <w:rPr>
          <w:noProof/>
        </w:rPr>
        <w:t>3</w:t>
      </w:r>
      <w:r>
        <w:fldChar w:fldCharType="end"/>
      </w:r>
      <w:r w:rsidRPr="00003CD5">
        <w:t xml:space="preserve"> </w:t>
      </w:r>
      <w:r>
        <w:t>Proyectos de adicionales Centrales de bombeo al año 2030. Fuente: IHA 2018</w:t>
      </w:r>
    </w:p>
    <w:p w:rsidR="00823CE0" w:rsidRPr="002F6FDB" w:rsidRDefault="00823CE0" w:rsidP="00CA1335">
      <w:pPr>
        <w:spacing w:after="200" w:line="276" w:lineRule="auto"/>
      </w:pPr>
    </w:p>
    <w:p w:rsidR="00CA1335" w:rsidRDefault="00CA1335" w:rsidP="00CA1335">
      <w:pPr>
        <w:pStyle w:val="Prrafodelista"/>
        <w:numPr>
          <w:ilvl w:val="0"/>
          <w:numId w:val="3"/>
        </w:numPr>
        <w:spacing w:after="200" w:line="276" w:lineRule="auto"/>
      </w:pPr>
      <w:r w:rsidRPr="002F6FDB">
        <w:t xml:space="preserve">Características técnicas de las centrales de bombeo </w:t>
      </w:r>
      <w:r w:rsidR="00CF56D0">
        <w:t xml:space="preserve">con agua de mar </w:t>
      </w:r>
      <w:r w:rsidRPr="002F6FDB">
        <w:t>instaladas y en operación a nivel mundial.</w:t>
      </w:r>
    </w:p>
    <w:p w:rsidR="00CF56D0" w:rsidRDefault="00CF56D0" w:rsidP="00CF56D0">
      <w:pPr>
        <w:spacing w:after="200" w:line="276" w:lineRule="auto"/>
      </w:pPr>
      <w:r>
        <w:t>Las características técnicas corresponden a las del único proyecto instalado a la fecha, diseñado para operar con agua de mar. La operación con agua de mar supone una serie de modificaciones a un proyecto típico de central de bombeo</w:t>
      </w:r>
      <w:r w:rsidR="00EA6515">
        <w:t xml:space="preserve"> en los materiales utilizados, debido a la presencia de microorganismos que se adhieren en superficies y problemas de corrosión y/o </w:t>
      </w:r>
      <w:proofErr w:type="spellStart"/>
      <w:r w:rsidR="00EA6515">
        <w:t>fouling</w:t>
      </w:r>
      <w:proofErr w:type="spellEnd"/>
      <w:r w:rsidR="00EA6515">
        <w:t xml:space="preserve"> que el uso de agua de mar provoca en los distintos componentes de una instalación.</w:t>
      </w:r>
    </w:p>
    <w:p w:rsidR="00EA6515" w:rsidRDefault="00EA6515" w:rsidP="00CF56D0">
      <w:pPr>
        <w:spacing w:after="200" w:line="276" w:lineRule="auto"/>
      </w:pPr>
      <w:r>
        <w:t>Además las tuberías de captación instaladas bajo el agua se extienden</w:t>
      </w:r>
      <w:r w:rsidR="00BB45A4">
        <w:t xml:space="preserve"> hasta puntos donde la profundidad del mar es mayor a 15 m, donde las tensiones sobre la estructura de succión de agua, atribuibles a oleaje son despreciables y, adicionalmente, el agua se mantiene relativamente limpia de residuos que son desplazados por corrientes. Las tuberías además se entierran 0,5 a 1 m bajo el fondo marino y sus longitudes están determinadas por la morfología de éste, para asegurar que la succión de agua</w:t>
      </w:r>
    </w:p>
    <w:p w:rsidR="001862A9" w:rsidRDefault="001862A9" w:rsidP="00CF56D0">
      <w:pPr>
        <w:spacing w:after="200" w:line="276" w:lineRule="auto"/>
        <w:rPr>
          <w:noProof/>
          <w:lang w:eastAsia="es-CL"/>
        </w:rPr>
      </w:pPr>
      <w:r>
        <w:rPr>
          <w:noProof/>
          <w:lang w:eastAsia="es-CL"/>
        </w:rPr>
        <w:t>Las siguientes figuras presentan un esquema de la central y de los materiales utilizados.</w:t>
      </w:r>
    </w:p>
    <w:p w:rsidR="001862A9" w:rsidRDefault="001862A9" w:rsidP="001862A9">
      <w:pPr>
        <w:keepNext/>
        <w:spacing w:after="200" w:line="276" w:lineRule="auto"/>
        <w:jc w:val="center"/>
      </w:pPr>
      <w:r>
        <w:rPr>
          <w:noProof/>
          <w:lang w:eastAsia="es-CL"/>
        </w:rPr>
        <w:drawing>
          <wp:inline distT="0" distB="0" distL="0" distR="0" wp14:anchorId="29CA71E6" wp14:editId="1292FE52">
            <wp:extent cx="4381500" cy="2047875"/>
            <wp:effectExtent l="0" t="0" r="0" b="952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a:srcRect l="2660" t="30283" r="3245" b="9978"/>
                    <a:stretch/>
                  </pic:blipFill>
                  <pic:spPr bwMode="auto">
                    <a:xfrm>
                      <a:off x="0" y="0"/>
                      <a:ext cx="4382148" cy="2048178"/>
                    </a:xfrm>
                    <a:prstGeom prst="rect">
                      <a:avLst/>
                    </a:prstGeom>
                    <a:ln>
                      <a:noFill/>
                    </a:ln>
                    <a:extLst>
                      <a:ext uri="{53640926-AAD7-44D8-BBD7-CCE9431645EC}">
                        <a14:shadowObscured xmlns:a14="http://schemas.microsoft.com/office/drawing/2010/main"/>
                      </a:ext>
                    </a:extLst>
                  </pic:spPr>
                </pic:pic>
              </a:graphicData>
            </a:graphic>
          </wp:inline>
        </w:drawing>
      </w:r>
    </w:p>
    <w:p w:rsidR="001862A9" w:rsidRDefault="001862A9" w:rsidP="001862A9">
      <w:pPr>
        <w:pStyle w:val="Descripcin"/>
        <w:jc w:val="center"/>
      </w:pPr>
      <w:r>
        <w:t xml:space="preserve">Ilustración </w:t>
      </w:r>
      <w:r>
        <w:fldChar w:fldCharType="begin"/>
      </w:r>
      <w:r>
        <w:instrText xml:space="preserve"> SEQ Ilustración \* ARABIC </w:instrText>
      </w:r>
      <w:r>
        <w:fldChar w:fldCharType="separate"/>
      </w:r>
      <w:r w:rsidR="000F505A">
        <w:rPr>
          <w:noProof/>
        </w:rPr>
        <w:t>4</w:t>
      </w:r>
      <w:r>
        <w:fldChar w:fldCharType="end"/>
      </w:r>
      <w:r>
        <w:t xml:space="preserve"> Esquema Central de bombeo </w:t>
      </w:r>
      <w:proofErr w:type="spellStart"/>
      <w:r>
        <w:t>Yanbaru</w:t>
      </w:r>
      <w:proofErr w:type="spellEnd"/>
      <w:r>
        <w:t xml:space="preserve"> de Okinawa. Fuente GIZ 2016.</w:t>
      </w:r>
    </w:p>
    <w:p w:rsidR="001862A9" w:rsidRDefault="001862A9" w:rsidP="001862A9">
      <w:pPr>
        <w:keepNext/>
        <w:spacing w:after="200" w:line="276" w:lineRule="auto"/>
        <w:jc w:val="center"/>
      </w:pPr>
      <w:r>
        <w:rPr>
          <w:noProof/>
          <w:lang w:eastAsia="es-CL"/>
        </w:rPr>
        <w:lastRenderedPageBreak/>
        <w:drawing>
          <wp:inline distT="0" distB="0" distL="0" distR="0" wp14:anchorId="661EDC84" wp14:editId="48FEA52B">
            <wp:extent cx="4333875" cy="2646461"/>
            <wp:effectExtent l="0" t="0" r="0" b="1905"/>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rotWithShape="1">
                    <a:blip r:embed="rId9"/>
                    <a:srcRect l="1755" r="544" b="9717"/>
                    <a:stretch/>
                  </pic:blipFill>
                  <pic:spPr bwMode="auto">
                    <a:xfrm>
                      <a:off x="0" y="0"/>
                      <a:ext cx="4357642" cy="2660974"/>
                    </a:xfrm>
                    <a:prstGeom prst="rect">
                      <a:avLst/>
                    </a:prstGeom>
                    <a:ln>
                      <a:noFill/>
                    </a:ln>
                    <a:extLst>
                      <a:ext uri="{53640926-AAD7-44D8-BBD7-CCE9431645EC}">
                        <a14:shadowObscured xmlns:a14="http://schemas.microsoft.com/office/drawing/2010/main"/>
                      </a:ext>
                    </a:extLst>
                  </pic:spPr>
                </pic:pic>
              </a:graphicData>
            </a:graphic>
          </wp:inline>
        </w:drawing>
      </w:r>
    </w:p>
    <w:p w:rsidR="001862A9" w:rsidRDefault="001862A9" w:rsidP="001862A9">
      <w:pPr>
        <w:pStyle w:val="Descripcin"/>
        <w:jc w:val="center"/>
        <w:rPr>
          <w:noProof/>
          <w:lang w:eastAsia="es-CL"/>
        </w:rPr>
      </w:pPr>
      <w:r>
        <w:t xml:space="preserve">Ilustración </w:t>
      </w:r>
      <w:r>
        <w:fldChar w:fldCharType="begin"/>
      </w:r>
      <w:r>
        <w:instrText xml:space="preserve"> SEQ Ilustración \* ARABIC </w:instrText>
      </w:r>
      <w:r>
        <w:fldChar w:fldCharType="separate"/>
      </w:r>
      <w:r w:rsidR="000F505A">
        <w:rPr>
          <w:noProof/>
        </w:rPr>
        <w:t>5</w:t>
      </w:r>
      <w:r>
        <w:fldChar w:fldCharType="end"/>
      </w:r>
      <w:r>
        <w:t xml:space="preserve"> </w:t>
      </w:r>
      <w:r w:rsidRPr="000712F1">
        <w:t xml:space="preserve">Esquema </w:t>
      </w:r>
      <w:r>
        <w:t xml:space="preserve">Materiales </w:t>
      </w:r>
      <w:r w:rsidRPr="000712F1">
        <w:t xml:space="preserve">Central de bombeo </w:t>
      </w:r>
      <w:proofErr w:type="spellStart"/>
      <w:r w:rsidRPr="000712F1">
        <w:t>Yanbaru</w:t>
      </w:r>
      <w:proofErr w:type="spellEnd"/>
      <w:r w:rsidRPr="000712F1">
        <w:t xml:space="preserve"> de Okinawa</w:t>
      </w:r>
      <w:r>
        <w:t xml:space="preserve">. Fuente: </w:t>
      </w:r>
      <w:proofErr w:type="spellStart"/>
      <w:r w:rsidRPr="001862A9">
        <w:t>Katsaprakakis</w:t>
      </w:r>
      <w:proofErr w:type="spellEnd"/>
      <w:r>
        <w:t xml:space="preserve"> et al. 2013</w:t>
      </w:r>
    </w:p>
    <w:p w:rsidR="00AF7342" w:rsidRDefault="001862A9" w:rsidP="00CF56D0">
      <w:pPr>
        <w:spacing w:after="200" w:line="276" w:lineRule="auto"/>
        <w:rPr>
          <w:noProof/>
          <w:lang w:eastAsia="es-CL"/>
        </w:rPr>
      </w:pPr>
      <w:r>
        <w:rPr>
          <w:noProof/>
          <w:lang w:eastAsia="es-CL"/>
        </w:rPr>
        <w:t>Además, a nivel de tecnología se establecen 3 posibles configuraciones según el nivel de acoplamiento entre el sistema turbina/ generador y el sistema motor/ bomba, un tipo con sistemas separados; un tipo con sistema ternario con acomplamiento entre motor y generador, y turbina y bombas separados; y un tipo binario reversible con acoplamiento entre turbina/ bomba y motor/ generador.</w:t>
      </w:r>
    </w:p>
    <w:p w:rsidR="00CA1335" w:rsidRDefault="00CA1335" w:rsidP="00CA1335">
      <w:pPr>
        <w:pStyle w:val="Prrafodelista"/>
        <w:numPr>
          <w:ilvl w:val="0"/>
          <w:numId w:val="3"/>
        </w:numPr>
        <w:spacing w:after="200" w:line="276" w:lineRule="auto"/>
      </w:pPr>
      <w:r w:rsidRPr="002F6FDB">
        <w:t>Criterios y umbrales técnicos utilizados para la identificación de potenciales en l</w:t>
      </w:r>
      <w:r w:rsidR="001862A9">
        <w:t>as experiencias internacionales</w:t>
      </w:r>
    </w:p>
    <w:p w:rsidR="00CA1335" w:rsidRDefault="001862A9" w:rsidP="001862A9">
      <w:r>
        <w:t xml:space="preserve">Diversos criterios son utilizados para estimación de potencial, siendo el criterio en base a topografías el más presente en la bibliografía revisada. </w:t>
      </w:r>
      <w:proofErr w:type="spellStart"/>
      <w:r>
        <w:t>Wu</w:t>
      </w:r>
      <w:proofErr w:type="spellEnd"/>
      <w:r>
        <w:t xml:space="preserve"> et al. 2019 realiza una síntesis de criterios utilizados a partir de una revisión bibliográfica exhaustiva, estableciend</w:t>
      </w:r>
      <w:r w:rsidR="005411A3">
        <w:t>o 3 posibles casos: (i) estimación de sitios para la instalación de centrales de bombeo en base únicamente a la ubicación de terrenos potenciales; (ii) estimación de sitios en base a ubicación de terrenos y riesgos climáticos; y (iii) estimación en base a ubicación de terrenos y cruce con efectos sociales, económicos y ambientales. El mismo documento establece particularidades de criterios que afectan el caso de centrales operando con agua de mar.</w:t>
      </w:r>
    </w:p>
    <w:p w:rsidR="005411A3" w:rsidRDefault="005411A3" w:rsidP="001862A9">
      <w:r>
        <w:t>De los 3 casos anteriores, para la aplicación del caso más complejo, que considera criterios territoriales, ambientales, sociales y económicos, la Unión Europea establece la siguiente metodología:</w:t>
      </w:r>
    </w:p>
    <w:p w:rsidR="005411A3" w:rsidRDefault="005411A3" w:rsidP="005411A3">
      <w:r>
        <w:t xml:space="preserve">Sin embargo, la metodología anterior es aplicada </w:t>
      </w:r>
      <w:r>
        <w:t>únicamente para el uso de reservorios de agua dulce</w:t>
      </w:r>
      <w:r>
        <w:t xml:space="preserve">. En el caso de usos con agua de mar, por sus condiciones particulares, los autores </w:t>
      </w:r>
      <w:proofErr w:type="spellStart"/>
      <w:r>
        <w:t>Ghorbani</w:t>
      </w:r>
      <w:proofErr w:type="spellEnd"/>
      <w:r>
        <w:t xml:space="preserve"> et al 2019 establecen la metodología de aplicación de los criterios para llegar al potencial teórico (siguiendo los mismos pasos posteriores), presentada en el siguiente diagrama:</w:t>
      </w:r>
    </w:p>
    <w:p w:rsidR="0029632C" w:rsidRDefault="0029632C" w:rsidP="0029632C">
      <w:pPr>
        <w:keepNext/>
      </w:pPr>
      <w:r>
        <w:rPr>
          <w:noProof/>
          <w:lang w:eastAsia="es-CL"/>
        </w:rPr>
        <w:lastRenderedPageBreak/>
        <w:drawing>
          <wp:inline distT="0" distB="0" distL="0" distR="0" wp14:anchorId="53CA3082" wp14:editId="0EB3C046">
            <wp:extent cx="2905760" cy="3552825"/>
            <wp:effectExtent l="0" t="0" r="88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0"/>
                    <a:srcRect b="7946"/>
                    <a:stretch/>
                  </pic:blipFill>
                  <pic:spPr bwMode="auto">
                    <a:xfrm>
                      <a:off x="0" y="0"/>
                      <a:ext cx="2924799" cy="3576104"/>
                    </a:xfrm>
                    <a:prstGeom prst="rect">
                      <a:avLst/>
                    </a:prstGeom>
                    <a:ln>
                      <a:noFill/>
                    </a:ln>
                    <a:extLst>
                      <a:ext uri="{53640926-AAD7-44D8-BBD7-CCE9431645EC}">
                        <a14:shadowObscured xmlns:a14="http://schemas.microsoft.com/office/drawing/2010/main"/>
                      </a:ext>
                    </a:extLst>
                  </pic:spPr>
                </pic:pic>
              </a:graphicData>
            </a:graphic>
          </wp:inline>
        </w:drawing>
      </w:r>
      <w:r w:rsidR="005411A3">
        <w:rPr>
          <w:noProof/>
          <w:lang w:eastAsia="es-CL"/>
        </w:rPr>
        <w:drawing>
          <wp:inline distT="0" distB="0" distL="0" distR="0" wp14:anchorId="0576377E" wp14:editId="2553F6A6">
            <wp:extent cx="2628900" cy="4353791"/>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66"/>
                    <a:stretch/>
                  </pic:blipFill>
                  <pic:spPr bwMode="auto">
                    <a:xfrm>
                      <a:off x="0" y="0"/>
                      <a:ext cx="2641045" cy="4373904"/>
                    </a:xfrm>
                    <a:prstGeom prst="rect">
                      <a:avLst/>
                    </a:prstGeom>
                    <a:ln>
                      <a:noFill/>
                    </a:ln>
                    <a:extLst>
                      <a:ext uri="{53640926-AAD7-44D8-BBD7-CCE9431645EC}">
                        <a14:shadowObscured xmlns:a14="http://schemas.microsoft.com/office/drawing/2010/main"/>
                      </a:ext>
                    </a:extLst>
                  </pic:spPr>
                </pic:pic>
              </a:graphicData>
            </a:graphic>
          </wp:inline>
        </w:drawing>
      </w:r>
    </w:p>
    <w:p w:rsidR="005411A3" w:rsidRDefault="0029632C" w:rsidP="0029632C">
      <w:pPr>
        <w:pStyle w:val="Descripcin"/>
      </w:pPr>
      <w:proofErr w:type="gramStart"/>
      <w:r>
        <w:t>a</w:t>
      </w:r>
      <w:proofErr w:type="gramEnd"/>
      <w:r>
        <w:t xml:space="preserve"> b</w:t>
      </w:r>
      <w:r>
        <w:br/>
        <w:t xml:space="preserve">Ilustración </w:t>
      </w:r>
      <w:r>
        <w:fldChar w:fldCharType="begin"/>
      </w:r>
      <w:r>
        <w:instrText xml:space="preserve"> SEQ Ilustración \* ARABIC </w:instrText>
      </w:r>
      <w:r>
        <w:fldChar w:fldCharType="separate"/>
      </w:r>
      <w:r w:rsidR="000F505A">
        <w:rPr>
          <w:noProof/>
        </w:rPr>
        <w:t>6</w:t>
      </w:r>
      <w:r>
        <w:fldChar w:fldCharType="end"/>
      </w:r>
      <w:r>
        <w:t xml:space="preserve"> (a) aplicación de criterios para determinación potencial de instalación de central de bombeo genérica. Fuente: Comisión Europea 2013. (b) aplicación de criterios para determinación de potencial teórico de instalación de centrales de bombeo con agua de mar. Fuente: </w:t>
      </w:r>
      <w:proofErr w:type="spellStart"/>
      <w:r>
        <w:t>Ghorbani</w:t>
      </w:r>
      <w:proofErr w:type="spellEnd"/>
      <w:r>
        <w:t xml:space="preserve"> et al. 2019.</w:t>
      </w:r>
    </w:p>
    <w:p w:rsidR="00CA1335" w:rsidRDefault="00CA1335" w:rsidP="00CA1335">
      <w:pPr>
        <w:pStyle w:val="Prrafodelista"/>
        <w:numPr>
          <w:ilvl w:val="0"/>
          <w:numId w:val="3"/>
        </w:numPr>
        <w:spacing w:after="200" w:line="276" w:lineRule="auto"/>
      </w:pPr>
      <w:r w:rsidRPr="002F6FDB">
        <w:t>Levantamiento de costos asociados a la instalación de centrales de bombeo, desagregando los compone</w:t>
      </w:r>
      <w:r>
        <w:t>ntes de su estructura de costos.</w:t>
      </w:r>
    </w:p>
    <w:p w:rsidR="0029632C" w:rsidRDefault="0029632C" w:rsidP="0029632C">
      <w:pPr>
        <w:spacing w:after="200" w:line="276" w:lineRule="auto"/>
      </w:pPr>
      <w:r>
        <w:t xml:space="preserve">Diversas fuentes consultadas presentan información sobre los costos de instalación de centrales de bombeo, mientras que sólo algunos presentan información de costos para centrales de bombeo de agua de mar. </w:t>
      </w:r>
    </w:p>
    <w:p w:rsidR="0029632C" w:rsidRDefault="0029632C" w:rsidP="0029632C">
      <w:pPr>
        <w:spacing w:after="200" w:line="276" w:lineRule="auto"/>
      </w:pPr>
      <w:r>
        <w:t xml:space="preserve">En relación a los costos detallados de tecnologías generales para centrales de bombeo, se presentan los más actualizados a la fecha, presentados al año 2019 por el </w:t>
      </w:r>
      <w:proofErr w:type="spellStart"/>
      <w:r>
        <w:t>Pacific</w:t>
      </w:r>
      <w:proofErr w:type="spellEnd"/>
      <w:r>
        <w:t xml:space="preserve"> </w:t>
      </w:r>
      <w:proofErr w:type="spellStart"/>
      <w:r>
        <w:t>Northwest</w:t>
      </w:r>
      <w:proofErr w:type="spellEnd"/>
      <w:r>
        <w:t xml:space="preserve"> </w:t>
      </w:r>
      <w:proofErr w:type="spellStart"/>
      <w:r>
        <w:t>National</w:t>
      </w:r>
      <w:proofErr w:type="spellEnd"/>
      <w:r>
        <w:t xml:space="preserve"> </w:t>
      </w:r>
      <w:proofErr w:type="spellStart"/>
      <w:r>
        <w:t>Laboratory</w:t>
      </w:r>
      <w:proofErr w:type="spellEnd"/>
      <w:r>
        <w:t>, el cual desglosa los siguientes costos:</w:t>
      </w:r>
    </w:p>
    <w:p w:rsidR="005A51B3" w:rsidRDefault="0029632C" w:rsidP="005A51B3">
      <w:pPr>
        <w:pStyle w:val="Prrafodelista"/>
        <w:numPr>
          <w:ilvl w:val="0"/>
          <w:numId w:val="4"/>
        </w:numPr>
        <w:spacing w:after="200" w:line="276" w:lineRule="auto"/>
      </w:pPr>
      <w:r>
        <w:t>Total costos</w:t>
      </w:r>
      <w:r w:rsidR="005A51B3">
        <w:t xml:space="preserve"> iniciales: 2640 USD/kW</w:t>
      </w:r>
    </w:p>
    <w:p w:rsidR="005A51B3" w:rsidRDefault="005A51B3" w:rsidP="005A51B3">
      <w:pPr>
        <w:pStyle w:val="Prrafodelista"/>
        <w:numPr>
          <w:ilvl w:val="1"/>
          <w:numId w:val="4"/>
        </w:numPr>
        <w:spacing w:after="200" w:line="276" w:lineRule="auto"/>
      </w:pPr>
      <w:r>
        <w:t>Costos propiedad 370 USD/kW</w:t>
      </w:r>
    </w:p>
    <w:p w:rsidR="005A51B3" w:rsidRDefault="005A51B3" w:rsidP="005A51B3">
      <w:pPr>
        <w:pStyle w:val="Prrafodelista"/>
        <w:numPr>
          <w:ilvl w:val="1"/>
          <w:numId w:val="4"/>
        </w:numPr>
        <w:spacing w:after="200" w:line="276" w:lineRule="auto"/>
      </w:pPr>
      <w:r>
        <w:t>EPC 390 USD/kW</w:t>
      </w:r>
    </w:p>
    <w:p w:rsidR="005A51B3" w:rsidRDefault="005A51B3" w:rsidP="005A51B3">
      <w:pPr>
        <w:pStyle w:val="Prrafodelista"/>
        <w:numPr>
          <w:ilvl w:val="1"/>
          <w:numId w:val="4"/>
        </w:numPr>
        <w:spacing w:after="200" w:line="276" w:lineRule="auto"/>
      </w:pPr>
      <w:r>
        <w:t>Túneles 135 USD/kW</w:t>
      </w:r>
    </w:p>
    <w:p w:rsidR="005A51B3" w:rsidRDefault="005A51B3" w:rsidP="005A51B3">
      <w:pPr>
        <w:pStyle w:val="Prrafodelista"/>
        <w:numPr>
          <w:ilvl w:val="1"/>
          <w:numId w:val="4"/>
        </w:numPr>
        <w:spacing w:after="200" w:line="276" w:lineRule="auto"/>
      </w:pPr>
      <w:r>
        <w:t>Excavaciones sala de máquinas 80 USD/kW</w:t>
      </w:r>
    </w:p>
    <w:p w:rsidR="005A51B3" w:rsidRDefault="005A51B3" w:rsidP="005A51B3">
      <w:pPr>
        <w:pStyle w:val="Prrafodelista"/>
        <w:numPr>
          <w:ilvl w:val="1"/>
          <w:numId w:val="4"/>
        </w:numPr>
        <w:spacing w:after="200" w:line="276" w:lineRule="auto"/>
      </w:pPr>
      <w:r>
        <w:lastRenderedPageBreak/>
        <w:t>Sala de máquinas 835 USD/kW</w:t>
      </w:r>
    </w:p>
    <w:p w:rsidR="005A51B3" w:rsidRDefault="005A51B3" w:rsidP="005A51B3">
      <w:pPr>
        <w:pStyle w:val="Prrafodelista"/>
        <w:numPr>
          <w:ilvl w:val="1"/>
          <w:numId w:val="4"/>
        </w:numPr>
        <w:spacing w:after="200" w:line="276" w:lineRule="auto"/>
      </w:pPr>
      <w:r>
        <w:t xml:space="preserve">Reservorio </w:t>
      </w:r>
      <w:r w:rsidR="00C64E2D">
        <w:t>superior</w:t>
      </w:r>
      <w:r>
        <w:t xml:space="preserve"> 420 USD/kW</w:t>
      </w:r>
    </w:p>
    <w:p w:rsidR="005A51B3" w:rsidRDefault="005A51B3" w:rsidP="005A51B3">
      <w:pPr>
        <w:pStyle w:val="Prrafodelista"/>
        <w:numPr>
          <w:ilvl w:val="1"/>
          <w:numId w:val="4"/>
        </w:numPr>
        <w:spacing w:after="200" w:line="276" w:lineRule="auto"/>
      </w:pPr>
      <w:r>
        <w:t xml:space="preserve">Reservorio </w:t>
      </w:r>
      <w:r w:rsidR="00C64E2D">
        <w:t>inferior</w:t>
      </w:r>
      <w:r>
        <w:t xml:space="preserve"> 420 USD/kW</w:t>
      </w:r>
    </w:p>
    <w:p w:rsidR="005A51B3" w:rsidRDefault="005A51B3" w:rsidP="005A51B3">
      <w:pPr>
        <w:pStyle w:val="Prrafodelista"/>
        <w:numPr>
          <w:ilvl w:val="0"/>
          <w:numId w:val="4"/>
        </w:numPr>
        <w:spacing w:after="200" w:line="276" w:lineRule="auto"/>
      </w:pPr>
      <w:r>
        <w:t>Costos de Operación y Mantenimiento: 15,9 USD/kW-año</w:t>
      </w:r>
    </w:p>
    <w:p w:rsidR="005A51B3" w:rsidRDefault="005A51B3" w:rsidP="005A51B3">
      <w:pPr>
        <w:spacing w:after="200" w:line="276" w:lineRule="auto"/>
      </w:pPr>
      <w:r>
        <w:t>Los costos de capital se presentan en el siguiente gráfico</w:t>
      </w:r>
    </w:p>
    <w:p w:rsidR="005A51B3" w:rsidRDefault="0029632C" w:rsidP="005A51B3">
      <w:pPr>
        <w:keepNext/>
        <w:spacing w:after="200" w:line="276" w:lineRule="auto"/>
        <w:jc w:val="center"/>
      </w:pPr>
      <w:r>
        <w:rPr>
          <w:noProof/>
          <w:lang w:eastAsia="es-CL"/>
        </w:rPr>
        <w:drawing>
          <wp:inline distT="0" distB="0" distL="0" distR="0" wp14:anchorId="6E6F874F" wp14:editId="3FC06BD1">
            <wp:extent cx="3943350" cy="2531631"/>
            <wp:effectExtent l="0" t="0" r="0" b="2540"/>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pic:cNvPicPr>
                  </pic:nvPicPr>
                  <pic:blipFill rotWithShape="1">
                    <a:blip r:embed="rId12"/>
                    <a:srcRect l="12899" t="7431" r="2240" b="7378"/>
                    <a:stretch/>
                  </pic:blipFill>
                  <pic:spPr bwMode="auto">
                    <a:xfrm>
                      <a:off x="0" y="0"/>
                      <a:ext cx="3950211" cy="2536036"/>
                    </a:xfrm>
                    <a:prstGeom prst="rect">
                      <a:avLst/>
                    </a:prstGeom>
                    <a:ln>
                      <a:noFill/>
                    </a:ln>
                    <a:extLst>
                      <a:ext uri="{53640926-AAD7-44D8-BBD7-CCE9431645EC}">
                        <a14:shadowObscured xmlns:a14="http://schemas.microsoft.com/office/drawing/2010/main"/>
                      </a:ext>
                    </a:extLst>
                  </pic:spPr>
                </pic:pic>
              </a:graphicData>
            </a:graphic>
          </wp:inline>
        </w:drawing>
      </w:r>
    </w:p>
    <w:p w:rsidR="0029632C" w:rsidRDefault="005A51B3" w:rsidP="005A51B3">
      <w:pPr>
        <w:pStyle w:val="Descripcin"/>
        <w:jc w:val="center"/>
      </w:pPr>
      <w:r>
        <w:t xml:space="preserve">Ilustración </w:t>
      </w:r>
      <w:r>
        <w:fldChar w:fldCharType="begin"/>
      </w:r>
      <w:r>
        <w:instrText xml:space="preserve"> SEQ Ilustración \* ARABIC </w:instrText>
      </w:r>
      <w:r>
        <w:fldChar w:fldCharType="separate"/>
      </w:r>
      <w:r w:rsidR="000F505A">
        <w:rPr>
          <w:noProof/>
        </w:rPr>
        <w:t>7</w:t>
      </w:r>
      <w:r>
        <w:fldChar w:fldCharType="end"/>
      </w:r>
      <w:r>
        <w:t xml:space="preserve"> Costos de capital desagregados centrales de bombeo. Fuente: PNNL 2019.</w:t>
      </w:r>
    </w:p>
    <w:p w:rsidR="005A51B3" w:rsidRDefault="005A51B3" w:rsidP="005A51B3">
      <w:r>
        <w:t>En particular, para el caso de centrales operando con agua de mar se cuenta con la siguiente información desagregada, al año 2013. Para dos centrales de 3MW y 50 MW respectivamente.</w:t>
      </w:r>
    </w:p>
    <w:p w:rsidR="00C64E2D" w:rsidRDefault="00C64E2D" w:rsidP="005A51B3"/>
    <w:tbl>
      <w:tblPr>
        <w:tblStyle w:val="Tablanormal3"/>
        <w:tblW w:w="6880" w:type="dxa"/>
        <w:jc w:val="center"/>
        <w:tblLook w:val="04A0" w:firstRow="1" w:lastRow="0" w:firstColumn="1" w:lastColumn="0" w:noHBand="0" w:noVBand="1"/>
      </w:tblPr>
      <w:tblGrid>
        <w:gridCol w:w="1200"/>
        <w:gridCol w:w="3762"/>
        <w:gridCol w:w="992"/>
        <w:gridCol w:w="926"/>
      </w:tblGrid>
      <w:tr w:rsidR="00C64E2D" w:rsidRPr="00C64E2D" w:rsidTr="000672A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200" w:type="dxa"/>
            <w:tcBorders>
              <w:bottom w:val="single" w:sz="4" w:space="0" w:color="auto"/>
            </w:tcBorders>
            <w:noWrap/>
            <w:hideMark/>
          </w:tcPr>
          <w:p w:rsidR="00C64E2D" w:rsidRPr="00C64E2D" w:rsidRDefault="00C64E2D" w:rsidP="00C64E2D">
            <w:pPr>
              <w:jc w:val="left"/>
              <w:rPr>
                <w:rFonts w:ascii="Times New Roman" w:eastAsia="Times New Roman" w:hAnsi="Times New Roman"/>
                <w:sz w:val="20"/>
                <w:szCs w:val="24"/>
                <w:lang w:eastAsia="es-CL"/>
              </w:rPr>
            </w:pPr>
          </w:p>
        </w:tc>
        <w:tc>
          <w:tcPr>
            <w:tcW w:w="3762" w:type="dxa"/>
            <w:tcBorders>
              <w:bottom w:val="single" w:sz="4" w:space="0" w:color="auto"/>
            </w:tcBorders>
            <w:noWrap/>
            <w:hideMark/>
          </w:tcPr>
          <w:p w:rsidR="00C64E2D" w:rsidRPr="00C64E2D" w:rsidRDefault="00C64E2D" w:rsidP="00C64E2D">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L"/>
              </w:rPr>
            </w:pPr>
          </w:p>
        </w:tc>
        <w:tc>
          <w:tcPr>
            <w:tcW w:w="1918" w:type="dxa"/>
            <w:gridSpan w:val="2"/>
            <w:tcBorders>
              <w:bottom w:val="single" w:sz="4" w:space="0" w:color="auto"/>
            </w:tcBorders>
            <w:noWrap/>
            <w:hideMark/>
          </w:tcPr>
          <w:p w:rsidR="00C64E2D" w:rsidRPr="00C64E2D" w:rsidRDefault="00C64E2D" w:rsidP="00C64E2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Costo MM€</w:t>
            </w:r>
          </w:p>
        </w:tc>
      </w:tr>
      <w:tr w:rsidR="00C64E2D" w:rsidRPr="00C64E2D" w:rsidTr="000672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left w:val="single" w:sz="4" w:space="0" w:color="auto"/>
              <w:bottom w:val="single" w:sz="4" w:space="0" w:color="auto"/>
            </w:tcBorders>
            <w:noWrap/>
            <w:hideMark/>
          </w:tcPr>
          <w:p w:rsidR="00C64E2D" w:rsidRPr="00C64E2D" w:rsidRDefault="00C64E2D" w:rsidP="00C64E2D">
            <w:pPr>
              <w:jc w:val="left"/>
              <w:rPr>
                <w:rFonts w:eastAsia="Times New Roman" w:cs="Calibri"/>
                <w:b w:val="0"/>
                <w:color w:val="000000"/>
                <w:sz w:val="22"/>
                <w:lang w:eastAsia="es-CL"/>
              </w:rPr>
            </w:pPr>
            <w:r w:rsidRPr="00C64E2D">
              <w:rPr>
                <w:rFonts w:eastAsia="Times New Roman" w:cs="Calibri"/>
                <w:b w:val="0"/>
                <w:color w:val="000000"/>
                <w:sz w:val="22"/>
                <w:lang w:eastAsia="es-CL"/>
              </w:rPr>
              <w:t>Item</w:t>
            </w:r>
          </w:p>
        </w:tc>
        <w:tc>
          <w:tcPr>
            <w:tcW w:w="3762" w:type="dxa"/>
            <w:tcBorders>
              <w:top w:val="single" w:sz="4" w:space="0" w:color="auto"/>
              <w:bottom w:val="single" w:sz="4" w:space="0" w:color="auto"/>
            </w:tcBorders>
            <w:noWrap/>
            <w:hideMark/>
          </w:tcPr>
          <w:p w:rsidR="00C64E2D" w:rsidRPr="00C64E2D" w:rsidRDefault="00C64E2D" w:rsidP="00C64E2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Componente</w:t>
            </w:r>
          </w:p>
        </w:tc>
        <w:tc>
          <w:tcPr>
            <w:tcW w:w="992" w:type="dxa"/>
            <w:tcBorders>
              <w:top w:val="single" w:sz="4" w:space="0" w:color="auto"/>
              <w:bottom w:val="single" w:sz="4" w:space="0" w:color="auto"/>
            </w:tcBorders>
            <w:noWrap/>
            <w:hideMark/>
          </w:tcPr>
          <w:p w:rsidR="00C64E2D" w:rsidRPr="00C64E2D" w:rsidRDefault="00C64E2D" w:rsidP="00C64E2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30 MW</w:t>
            </w:r>
          </w:p>
        </w:tc>
        <w:tc>
          <w:tcPr>
            <w:tcW w:w="926" w:type="dxa"/>
            <w:tcBorders>
              <w:top w:val="single" w:sz="4" w:space="0" w:color="auto"/>
              <w:bottom w:val="single" w:sz="4" w:space="0" w:color="auto"/>
              <w:right w:val="single" w:sz="4" w:space="0" w:color="auto"/>
            </w:tcBorders>
            <w:noWrap/>
            <w:hideMark/>
          </w:tcPr>
          <w:p w:rsidR="00C64E2D" w:rsidRPr="00C64E2D" w:rsidRDefault="00C64E2D" w:rsidP="00C64E2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5 MW</w:t>
            </w:r>
          </w:p>
        </w:tc>
      </w:tr>
      <w:tr w:rsidR="00C64E2D" w:rsidRPr="00C64E2D" w:rsidTr="000672AD">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tcBorders>
            <w:noWrap/>
            <w:hideMark/>
          </w:tcPr>
          <w:p w:rsidR="00C64E2D" w:rsidRPr="00C64E2D" w:rsidRDefault="00C64E2D" w:rsidP="00C64E2D">
            <w:pPr>
              <w:jc w:val="right"/>
              <w:rPr>
                <w:rFonts w:eastAsia="Times New Roman" w:cs="Calibri"/>
                <w:color w:val="000000"/>
                <w:sz w:val="22"/>
                <w:lang w:eastAsia="es-CL"/>
              </w:rPr>
            </w:pPr>
            <w:r w:rsidRPr="00C64E2D">
              <w:rPr>
                <w:rFonts w:eastAsia="Times New Roman" w:cs="Calibri"/>
                <w:color w:val="000000"/>
                <w:sz w:val="22"/>
                <w:lang w:eastAsia="es-CL"/>
              </w:rPr>
              <w:t>1</w:t>
            </w:r>
          </w:p>
        </w:tc>
        <w:tc>
          <w:tcPr>
            <w:tcW w:w="3762" w:type="dxa"/>
            <w:tcBorders>
              <w:top w:val="single" w:sz="4" w:space="0" w:color="auto"/>
            </w:tcBorders>
            <w:noWrap/>
            <w:hideMark/>
          </w:tcPr>
          <w:p w:rsidR="00C64E2D" w:rsidRPr="00C64E2D" w:rsidRDefault="00C64E2D" w:rsidP="00C64E2D">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Planta de potencia</w:t>
            </w:r>
          </w:p>
        </w:tc>
        <w:tc>
          <w:tcPr>
            <w:tcW w:w="992" w:type="dxa"/>
            <w:tcBorders>
              <w:top w:val="single" w:sz="4" w:space="0" w:color="auto"/>
            </w:tcBorders>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15</w:t>
            </w:r>
          </w:p>
        </w:tc>
        <w:tc>
          <w:tcPr>
            <w:tcW w:w="926" w:type="dxa"/>
            <w:tcBorders>
              <w:top w:val="single" w:sz="4" w:space="0" w:color="auto"/>
            </w:tcBorders>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2,8</w:t>
            </w:r>
          </w:p>
        </w:tc>
      </w:tr>
      <w:tr w:rsidR="00C64E2D" w:rsidRPr="00C64E2D" w:rsidTr="000672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C64E2D" w:rsidRPr="00C64E2D" w:rsidRDefault="00C64E2D" w:rsidP="00C64E2D">
            <w:pPr>
              <w:jc w:val="right"/>
              <w:rPr>
                <w:rFonts w:eastAsia="Times New Roman" w:cs="Calibri"/>
                <w:color w:val="000000"/>
                <w:sz w:val="22"/>
                <w:lang w:eastAsia="es-CL"/>
              </w:rPr>
            </w:pPr>
            <w:r w:rsidRPr="00C64E2D">
              <w:rPr>
                <w:rFonts w:eastAsia="Times New Roman" w:cs="Calibri"/>
                <w:color w:val="000000"/>
                <w:sz w:val="22"/>
                <w:lang w:eastAsia="es-CL"/>
              </w:rPr>
              <w:t>2</w:t>
            </w:r>
          </w:p>
        </w:tc>
        <w:tc>
          <w:tcPr>
            <w:tcW w:w="3762" w:type="dxa"/>
            <w:noWrap/>
            <w:hideMark/>
          </w:tcPr>
          <w:p w:rsidR="00C64E2D" w:rsidRPr="00C64E2D" w:rsidRDefault="00C64E2D" w:rsidP="00C64E2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Estación de bombeo</w:t>
            </w:r>
          </w:p>
        </w:tc>
        <w:tc>
          <w:tcPr>
            <w:tcW w:w="992" w:type="dxa"/>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18</w:t>
            </w:r>
          </w:p>
        </w:tc>
        <w:tc>
          <w:tcPr>
            <w:tcW w:w="926" w:type="dxa"/>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2,2</w:t>
            </w:r>
          </w:p>
        </w:tc>
      </w:tr>
      <w:tr w:rsidR="00C64E2D" w:rsidRPr="00C64E2D" w:rsidTr="000672AD">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C64E2D" w:rsidRPr="00C64E2D" w:rsidRDefault="00C64E2D" w:rsidP="00C64E2D">
            <w:pPr>
              <w:jc w:val="right"/>
              <w:rPr>
                <w:rFonts w:eastAsia="Times New Roman" w:cs="Calibri"/>
                <w:color w:val="000000"/>
                <w:sz w:val="22"/>
                <w:lang w:eastAsia="es-CL"/>
              </w:rPr>
            </w:pPr>
            <w:r w:rsidRPr="00C64E2D">
              <w:rPr>
                <w:rFonts w:eastAsia="Times New Roman" w:cs="Calibri"/>
                <w:color w:val="000000"/>
                <w:sz w:val="22"/>
                <w:lang w:eastAsia="es-CL"/>
              </w:rPr>
              <w:t>3</w:t>
            </w:r>
          </w:p>
        </w:tc>
        <w:tc>
          <w:tcPr>
            <w:tcW w:w="3762" w:type="dxa"/>
            <w:noWrap/>
            <w:hideMark/>
          </w:tcPr>
          <w:p w:rsidR="00C64E2D" w:rsidRPr="00C64E2D" w:rsidRDefault="00C64E2D" w:rsidP="00C64E2D">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Reservorio superior</w:t>
            </w:r>
          </w:p>
        </w:tc>
        <w:tc>
          <w:tcPr>
            <w:tcW w:w="992" w:type="dxa"/>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12</w:t>
            </w:r>
          </w:p>
        </w:tc>
        <w:tc>
          <w:tcPr>
            <w:tcW w:w="926" w:type="dxa"/>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4,3</w:t>
            </w:r>
          </w:p>
        </w:tc>
      </w:tr>
      <w:tr w:rsidR="00C64E2D" w:rsidRPr="00C64E2D" w:rsidTr="000672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C64E2D" w:rsidRPr="00C64E2D" w:rsidRDefault="00C64E2D" w:rsidP="00C64E2D">
            <w:pPr>
              <w:jc w:val="right"/>
              <w:rPr>
                <w:rFonts w:eastAsia="Times New Roman" w:cs="Calibri"/>
                <w:color w:val="000000"/>
                <w:sz w:val="22"/>
                <w:lang w:eastAsia="es-CL"/>
              </w:rPr>
            </w:pPr>
            <w:r w:rsidRPr="00C64E2D">
              <w:rPr>
                <w:rFonts w:eastAsia="Times New Roman" w:cs="Calibri"/>
                <w:color w:val="000000"/>
                <w:sz w:val="22"/>
                <w:lang w:eastAsia="es-CL"/>
              </w:rPr>
              <w:t>4</w:t>
            </w:r>
          </w:p>
        </w:tc>
        <w:tc>
          <w:tcPr>
            <w:tcW w:w="3762" w:type="dxa"/>
            <w:noWrap/>
            <w:hideMark/>
          </w:tcPr>
          <w:p w:rsidR="00C64E2D" w:rsidRPr="00C64E2D" w:rsidRDefault="00C64E2D" w:rsidP="00C64E2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Compuertas</w:t>
            </w:r>
          </w:p>
        </w:tc>
        <w:tc>
          <w:tcPr>
            <w:tcW w:w="992" w:type="dxa"/>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20</w:t>
            </w:r>
          </w:p>
        </w:tc>
        <w:tc>
          <w:tcPr>
            <w:tcW w:w="926" w:type="dxa"/>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2,4</w:t>
            </w:r>
          </w:p>
        </w:tc>
      </w:tr>
      <w:tr w:rsidR="00C64E2D" w:rsidRPr="00C64E2D" w:rsidTr="000672AD">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C64E2D" w:rsidRPr="00C64E2D" w:rsidRDefault="00C64E2D" w:rsidP="00C64E2D">
            <w:pPr>
              <w:jc w:val="right"/>
              <w:rPr>
                <w:rFonts w:eastAsia="Times New Roman" w:cs="Calibri"/>
                <w:color w:val="000000"/>
                <w:sz w:val="22"/>
                <w:lang w:eastAsia="es-CL"/>
              </w:rPr>
            </w:pPr>
            <w:r w:rsidRPr="00C64E2D">
              <w:rPr>
                <w:rFonts w:eastAsia="Times New Roman" w:cs="Calibri"/>
                <w:color w:val="000000"/>
                <w:sz w:val="22"/>
                <w:lang w:eastAsia="es-CL"/>
              </w:rPr>
              <w:t>5</w:t>
            </w:r>
          </w:p>
        </w:tc>
        <w:tc>
          <w:tcPr>
            <w:tcW w:w="3762" w:type="dxa"/>
            <w:noWrap/>
            <w:hideMark/>
          </w:tcPr>
          <w:p w:rsidR="00C64E2D" w:rsidRPr="00C64E2D" w:rsidRDefault="00C64E2D" w:rsidP="00C64E2D">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Nuevas obras vialidad</w:t>
            </w:r>
          </w:p>
        </w:tc>
        <w:tc>
          <w:tcPr>
            <w:tcW w:w="992" w:type="dxa"/>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1,2</w:t>
            </w:r>
          </w:p>
        </w:tc>
        <w:tc>
          <w:tcPr>
            <w:tcW w:w="926" w:type="dxa"/>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0,6</w:t>
            </w:r>
          </w:p>
        </w:tc>
      </w:tr>
      <w:tr w:rsidR="00C64E2D" w:rsidRPr="00C64E2D" w:rsidTr="000672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C64E2D" w:rsidRPr="00C64E2D" w:rsidRDefault="00C64E2D" w:rsidP="00C64E2D">
            <w:pPr>
              <w:jc w:val="right"/>
              <w:rPr>
                <w:rFonts w:eastAsia="Times New Roman" w:cs="Calibri"/>
                <w:color w:val="000000"/>
                <w:sz w:val="22"/>
                <w:lang w:eastAsia="es-CL"/>
              </w:rPr>
            </w:pPr>
            <w:r w:rsidRPr="00C64E2D">
              <w:rPr>
                <w:rFonts w:eastAsia="Times New Roman" w:cs="Calibri"/>
                <w:color w:val="000000"/>
                <w:sz w:val="22"/>
                <w:lang w:eastAsia="es-CL"/>
              </w:rPr>
              <w:t>6</w:t>
            </w:r>
          </w:p>
        </w:tc>
        <w:tc>
          <w:tcPr>
            <w:tcW w:w="3762" w:type="dxa"/>
            <w:noWrap/>
            <w:hideMark/>
          </w:tcPr>
          <w:p w:rsidR="00C64E2D" w:rsidRPr="00C64E2D" w:rsidRDefault="00C64E2D" w:rsidP="00C64E2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 xml:space="preserve">Nuevas </w:t>
            </w:r>
            <w:proofErr w:type="spellStart"/>
            <w:r w:rsidRPr="00C64E2D">
              <w:rPr>
                <w:rFonts w:eastAsia="Times New Roman" w:cs="Calibri"/>
                <w:color w:val="000000"/>
                <w:sz w:val="22"/>
                <w:lang w:eastAsia="es-CL"/>
              </w:rPr>
              <w:t>rededs</w:t>
            </w:r>
            <w:proofErr w:type="spellEnd"/>
          </w:p>
        </w:tc>
        <w:tc>
          <w:tcPr>
            <w:tcW w:w="992" w:type="dxa"/>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8</w:t>
            </w:r>
          </w:p>
        </w:tc>
        <w:tc>
          <w:tcPr>
            <w:tcW w:w="926" w:type="dxa"/>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0,8</w:t>
            </w:r>
          </w:p>
        </w:tc>
      </w:tr>
      <w:tr w:rsidR="00C64E2D" w:rsidRPr="00C64E2D" w:rsidTr="000672AD">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C64E2D" w:rsidRPr="00C64E2D" w:rsidRDefault="00C64E2D" w:rsidP="00C64E2D">
            <w:pPr>
              <w:jc w:val="right"/>
              <w:rPr>
                <w:rFonts w:eastAsia="Times New Roman" w:cs="Calibri"/>
                <w:color w:val="000000"/>
                <w:sz w:val="22"/>
                <w:lang w:eastAsia="es-CL"/>
              </w:rPr>
            </w:pPr>
            <w:r w:rsidRPr="00C64E2D">
              <w:rPr>
                <w:rFonts w:eastAsia="Times New Roman" w:cs="Calibri"/>
                <w:color w:val="000000"/>
                <w:sz w:val="22"/>
                <w:lang w:eastAsia="es-CL"/>
              </w:rPr>
              <w:t>7</w:t>
            </w:r>
          </w:p>
        </w:tc>
        <w:tc>
          <w:tcPr>
            <w:tcW w:w="3762" w:type="dxa"/>
            <w:noWrap/>
            <w:hideMark/>
          </w:tcPr>
          <w:p w:rsidR="00C64E2D" w:rsidRPr="00C64E2D" w:rsidRDefault="00C64E2D" w:rsidP="00C64E2D">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Infraestructura varios</w:t>
            </w:r>
          </w:p>
        </w:tc>
        <w:tc>
          <w:tcPr>
            <w:tcW w:w="992" w:type="dxa"/>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10</w:t>
            </w:r>
          </w:p>
        </w:tc>
        <w:tc>
          <w:tcPr>
            <w:tcW w:w="926" w:type="dxa"/>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1,4</w:t>
            </w:r>
          </w:p>
        </w:tc>
      </w:tr>
      <w:tr w:rsidR="00C64E2D" w:rsidRPr="00C64E2D" w:rsidTr="000672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C64E2D" w:rsidRPr="00C64E2D" w:rsidRDefault="00C64E2D" w:rsidP="00C64E2D">
            <w:pPr>
              <w:jc w:val="right"/>
              <w:rPr>
                <w:rFonts w:eastAsia="Times New Roman" w:cs="Calibri"/>
                <w:color w:val="000000"/>
                <w:sz w:val="22"/>
                <w:lang w:eastAsia="es-CL"/>
              </w:rPr>
            </w:pPr>
            <w:r w:rsidRPr="00C64E2D">
              <w:rPr>
                <w:rFonts w:eastAsia="Times New Roman" w:cs="Calibri"/>
                <w:color w:val="000000"/>
                <w:sz w:val="22"/>
                <w:lang w:eastAsia="es-CL"/>
              </w:rPr>
              <w:t>8</w:t>
            </w:r>
          </w:p>
        </w:tc>
        <w:tc>
          <w:tcPr>
            <w:tcW w:w="3762" w:type="dxa"/>
            <w:noWrap/>
            <w:hideMark/>
          </w:tcPr>
          <w:p w:rsidR="00C64E2D" w:rsidRPr="00C64E2D" w:rsidRDefault="00C64E2D" w:rsidP="00C64E2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Equipo electromecánico</w:t>
            </w:r>
          </w:p>
        </w:tc>
        <w:tc>
          <w:tcPr>
            <w:tcW w:w="992" w:type="dxa"/>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5</w:t>
            </w:r>
          </w:p>
        </w:tc>
        <w:tc>
          <w:tcPr>
            <w:tcW w:w="926" w:type="dxa"/>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2,2</w:t>
            </w:r>
          </w:p>
        </w:tc>
      </w:tr>
      <w:tr w:rsidR="00C64E2D" w:rsidRPr="00C64E2D" w:rsidTr="000672AD">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C64E2D" w:rsidRPr="00C64E2D" w:rsidRDefault="00C64E2D" w:rsidP="00C64E2D">
            <w:pPr>
              <w:jc w:val="right"/>
              <w:rPr>
                <w:rFonts w:eastAsia="Times New Roman" w:cs="Calibri"/>
                <w:color w:val="000000"/>
                <w:sz w:val="22"/>
                <w:lang w:eastAsia="es-CL"/>
              </w:rPr>
            </w:pPr>
            <w:r w:rsidRPr="00C64E2D">
              <w:rPr>
                <w:rFonts w:eastAsia="Times New Roman" w:cs="Calibri"/>
                <w:color w:val="000000"/>
                <w:sz w:val="22"/>
                <w:lang w:eastAsia="es-CL"/>
              </w:rPr>
              <w:t>9</w:t>
            </w:r>
          </w:p>
        </w:tc>
        <w:tc>
          <w:tcPr>
            <w:tcW w:w="3762" w:type="dxa"/>
            <w:noWrap/>
            <w:hideMark/>
          </w:tcPr>
          <w:p w:rsidR="00C64E2D" w:rsidRPr="00C64E2D" w:rsidRDefault="00C64E2D" w:rsidP="00C64E2D">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Pago consultorías</w:t>
            </w:r>
          </w:p>
        </w:tc>
        <w:tc>
          <w:tcPr>
            <w:tcW w:w="992" w:type="dxa"/>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3</w:t>
            </w:r>
          </w:p>
        </w:tc>
        <w:tc>
          <w:tcPr>
            <w:tcW w:w="926" w:type="dxa"/>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0,3</w:t>
            </w:r>
          </w:p>
        </w:tc>
      </w:tr>
      <w:tr w:rsidR="00C64E2D" w:rsidRPr="00C64E2D" w:rsidTr="000672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single" w:sz="4" w:space="0" w:color="auto"/>
            </w:tcBorders>
            <w:noWrap/>
            <w:hideMark/>
          </w:tcPr>
          <w:p w:rsidR="00C64E2D" w:rsidRPr="00C64E2D" w:rsidRDefault="00C64E2D" w:rsidP="00C64E2D">
            <w:pPr>
              <w:jc w:val="right"/>
              <w:rPr>
                <w:rFonts w:eastAsia="Times New Roman" w:cs="Calibri"/>
                <w:color w:val="000000"/>
                <w:sz w:val="22"/>
                <w:lang w:eastAsia="es-CL"/>
              </w:rPr>
            </w:pPr>
            <w:r w:rsidRPr="00C64E2D">
              <w:rPr>
                <w:rFonts w:eastAsia="Times New Roman" w:cs="Calibri"/>
                <w:color w:val="000000"/>
                <w:sz w:val="22"/>
                <w:lang w:eastAsia="es-CL"/>
              </w:rPr>
              <w:t>10</w:t>
            </w:r>
          </w:p>
        </w:tc>
        <w:tc>
          <w:tcPr>
            <w:tcW w:w="3762" w:type="dxa"/>
            <w:tcBorders>
              <w:bottom w:val="single" w:sz="4" w:space="0" w:color="auto"/>
            </w:tcBorders>
            <w:noWrap/>
            <w:hideMark/>
          </w:tcPr>
          <w:p w:rsidR="00C64E2D" w:rsidRPr="00C64E2D" w:rsidRDefault="00C64E2D" w:rsidP="00C64E2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Otros</w:t>
            </w:r>
          </w:p>
        </w:tc>
        <w:tc>
          <w:tcPr>
            <w:tcW w:w="992" w:type="dxa"/>
            <w:tcBorders>
              <w:bottom w:val="single" w:sz="4" w:space="0" w:color="auto"/>
            </w:tcBorders>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5</w:t>
            </w:r>
          </w:p>
        </w:tc>
        <w:tc>
          <w:tcPr>
            <w:tcW w:w="926" w:type="dxa"/>
            <w:tcBorders>
              <w:bottom w:val="single" w:sz="4" w:space="0" w:color="auto"/>
            </w:tcBorders>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0,5</w:t>
            </w:r>
          </w:p>
        </w:tc>
      </w:tr>
      <w:tr w:rsidR="00C64E2D" w:rsidRPr="00C64E2D" w:rsidTr="000672AD">
        <w:trPr>
          <w:trHeight w:val="300"/>
          <w:jc w:val="center"/>
        </w:trPr>
        <w:tc>
          <w:tcPr>
            <w:cnfStyle w:val="001000000000" w:firstRow="0" w:lastRow="0" w:firstColumn="1" w:lastColumn="0" w:oddVBand="0" w:evenVBand="0" w:oddHBand="0" w:evenHBand="0" w:firstRowFirstColumn="0" w:firstRowLastColumn="0" w:lastRowFirstColumn="0" w:lastRowLastColumn="0"/>
            <w:tcW w:w="49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64E2D" w:rsidRPr="00C64E2D" w:rsidRDefault="00C64E2D" w:rsidP="00C64E2D">
            <w:pPr>
              <w:jc w:val="center"/>
              <w:rPr>
                <w:rFonts w:eastAsia="Times New Roman" w:cs="Calibri"/>
                <w:b w:val="0"/>
                <w:color w:val="000000"/>
                <w:sz w:val="22"/>
                <w:lang w:eastAsia="es-CL"/>
              </w:rPr>
            </w:pPr>
            <w:r w:rsidRPr="00C64E2D">
              <w:rPr>
                <w:rFonts w:eastAsia="Times New Roman" w:cs="Calibri"/>
                <w:b w:val="0"/>
                <w:color w:val="000000"/>
                <w:sz w:val="22"/>
                <w:lang w:eastAsia="es-CL"/>
              </w:rPr>
              <w:t>Total costo de instalación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97,14</w:t>
            </w:r>
          </w:p>
        </w:tc>
        <w:tc>
          <w:tcPr>
            <w:tcW w:w="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64E2D" w:rsidRPr="00C64E2D" w:rsidRDefault="00C64E2D" w:rsidP="00C64E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15,34</w:t>
            </w:r>
          </w:p>
        </w:tc>
      </w:tr>
      <w:tr w:rsidR="000672AD" w:rsidRPr="00C64E2D" w:rsidTr="000672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64E2D" w:rsidRPr="00C64E2D" w:rsidRDefault="00C64E2D" w:rsidP="00C64E2D">
            <w:pPr>
              <w:jc w:val="center"/>
              <w:rPr>
                <w:rFonts w:eastAsia="Times New Roman" w:cs="Calibri"/>
                <w:b w:val="0"/>
                <w:color w:val="000000"/>
                <w:sz w:val="22"/>
                <w:lang w:eastAsia="es-CL"/>
              </w:rPr>
            </w:pPr>
            <w:r w:rsidRPr="00C64E2D">
              <w:rPr>
                <w:rFonts w:eastAsia="Times New Roman" w:cs="Calibri"/>
                <w:b w:val="0"/>
                <w:color w:val="000000"/>
                <w:sz w:val="22"/>
                <w:lang w:eastAsia="es-CL"/>
              </w:rPr>
              <w:t>Total costo específico de instalación (€/kW)</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1,9</w:t>
            </w:r>
          </w:p>
        </w:tc>
        <w:tc>
          <w:tcPr>
            <w:tcW w:w="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64E2D" w:rsidRPr="00C64E2D" w:rsidRDefault="00C64E2D" w:rsidP="00C64E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CL"/>
              </w:rPr>
            </w:pPr>
            <w:r w:rsidRPr="00C64E2D">
              <w:rPr>
                <w:rFonts w:eastAsia="Times New Roman" w:cs="Calibri"/>
                <w:color w:val="000000"/>
                <w:sz w:val="22"/>
                <w:lang w:eastAsia="es-CL"/>
              </w:rPr>
              <w:t>5,11</w:t>
            </w:r>
          </w:p>
        </w:tc>
      </w:tr>
    </w:tbl>
    <w:p w:rsidR="005A51B3" w:rsidRDefault="005A51B3" w:rsidP="005A51B3">
      <w:bookmarkStart w:id="0" w:name="_GoBack"/>
      <w:bookmarkEnd w:id="0"/>
    </w:p>
    <w:p w:rsidR="00BF6357" w:rsidRDefault="00BF6357" w:rsidP="005A51B3">
      <w:r>
        <w:lastRenderedPageBreak/>
        <w:t xml:space="preserve">En cuanto a escenarios futuros, se espera cierta estabilidad en los costos de estas </w:t>
      </w:r>
      <w:proofErr w:type="gramStart"/>
      <w:r>
        <w:t>tecnologías</w:t>
      </w:r>
      <w:proofErr w:type="gramEnd"/>
      <w:r>
        <w:t>, según se presenta en el siguiente diagrama.</w:t>
      </w:r>
    </w:p>
    <w:p w:rsidR="000F505A" w:rsidRDefault="00BF6357" w:rsidP="000F505A">
      <w:pPr>
        <w:keepNext/>
      </w:pPr>
      <w:r>
        <w:rPr>
          <w:noProof/>
          <w:lang w:eastAsia="es-CL"/>
        </w:rPr>
        <w:drawing>
          <wp:inline distT="0" distB="0" distL="0" distR="0" wp14:anchorId="013F8813" wp14:editId="7D53E89C">
            <wp:extent cx="5000000" cy="4333333"/>
            <wp:effectExtent l="0" t="0" r="0" b="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13"/>
                    <a:stretch>
                      <a:fillRect/>
                    </a:stretch>
                  </pic:blipFill>
                  <pic:spPr>
                    <a:xfrm>
                      <a:off x="0" y="0"/>
                      <a:ext cx="5000000" cy="4333333"/>
                    </a:xfrm>
                    <a:prstGeom prst="rect">
                      <a:avLst/>
                    </a:prstGeom>
                  </pic:spPr>
                </pic:pic>
              </a:graphicData>
            </a:graphic>
          </wp:inline>
        </w:drawing>
      </w:r>
    </w:p>
    <w:p w:rsidR="00BF6357" w:rsidRPr="005A51B3" w:rsidRDefault="000F505A" w:rsidP="000F505A">
      <w:pPr>
        <w:pStyle w:val="Descripcin"/>
      </w:pPr>
      <w:r>
        <w:t xml:space="preserve">Ilustración </w:t>
      </w:r>
      <w:r>
        <w:fldChar w:fldCharType="begin"/>
      </w:r>
      <w:r>
        <w:instrText xml:space="preserve"> SEQ Ilustración \* ARABIC </w:instrText>
      </w:r>
      <w:r>
        <w:fldChar w:fldCharType="separate"/>
      </w:r>
      <w:r>
        <w:rPr>
          <w:noProof/>
        </w:rPr>
        <w:t>8</w:t>
      </w:r>
      <w:r>
        <w:fldChar w:fldCharType="end"/>
      </w:r>
      <w:r>
        <w:t xml:space="preserve"> Proyecciones de costos de tecnologías de almacenamiento.</w:t>
      </w:r>
      <w:r w:rsidRPr="000F505A">
        <w:t xml:space="preserve"> </w:t>
      </w:r>
      <w:r>
        <w:t xml:space="preserve">Fuente: </w:t>
      </w:r>
      <w:proofErr w:type="spellStart"/>
      <w:r>
        <w:t>Nature</w:t>
      </w:r>
      <w:proofErr w:type="spellEnd"/>
      <w:r>
        <w:t xml:space="preserve"> 2017.</w:t>
      </w:r>
    </w:p>
    <w:p w:rsidR="00CA1335" w:rsidRDefault="00CA1335" w:rsidP="00CA1335">
      <w:pPr>
        <w:pStyle w:val="Prrafodelista"/>
        <w:numPr>
          <w:ilvl w:val="0"/>
          <w:numId w:val="3"/>
        </w:numPr>
        <w:spacing w:after="200" w:line="276" w:lineRule="auto"/>
      </w:pPr>
      <w:r w:rsidRPr="002F6FDB">
        <w:t>Consideraciones ambientales y sociales que conllevan la construcción de este tipo proyectos.</w:t>
      </w:r>
    </w:p>
    <w:p w:rsidR="000A5F58" w:rsidRDefault="000A5F58" w:rsidP="000A5F58">
      <w:pPr>
        <w:spacing w:after="200" w:line="276" w:lineRule="auto"/>
      </w:pPr>
      <w:r>
        <w:t>Las consideraciones presentes en las estimaciones de sitios potenciales para la generación eléctrica por centrales de bombeo se describen a continuación:</w:t>
      </w:r>
    </w:p>
    <w:p w:rsidR="000A5F58" w:rsidRDefault="00C64E2D" w:rsidP="000A5F58">
      <w:pPr>
        <w:pStyle w:val="Prrafodelista"/>
        <w:numPr>
          <w:ilvl w:val="0"/>
          <w:numId w:val="5"/>
        </w:numPr>
        <w:spacing w:after="200" w:line="276" w:lineRule="auto"/>
      </w:pPr>
      <w:r>
        <w:t>Distancia máxima entre dos sitios potenciales</w:t>
      </w:r>
    </w:p>
    <w:p w:rsidR="00C64E2D" w:rsidRDefault="00C64E2D" w:rsidP="000A5F58">
      <w:pPr>
        <w:pStyle w:val="Prrafodelista"/>
        <w:numPr>
          <w:ilvl w:val="0"/>
          <w:numId w:val="5"/>
        </w:numPr>
        <w:spacing w:after="200" w:line="276" w:lineRule="auto"/>
      </w:pPr>
      <w:r>
        <w:t>Altura mínima de caída.</w:t>
      </w:r>
    </w:p>
    <w:p w:rsidR="00C64E2D" w:rsidRDefault="00C64E2D" w:rsidP="000A5F58">
      <w:pPr>
        <w:pStyle w:val="Prrafodelista"/>
        <w:numPr>
          <w:ilvl w:val="0"/>
          <w:numId w:val="5"/>
        </w:numPr>
        <w:spacing w:after="200" w:line="276" w:lineRule="auto"/>
      </w:pPr>
      <w:r>
        <w:t>Capacidad mínima del reservorio</w:t>
      </w:r>
    </w:p>
    <w:p w:rsidR="00C64E2D" w:rsidRDefault="00C64E2D" w:rsidP="000A5F58">
      <w:pPr>
        <w:pStyle w:val="Prrafodelista"/>
        <w:numPr>
          <w:ilvl w:val="0"/>
          <w:numId w:val="5"/>
        </w:numPr>
        <w:spacing w:after="200" w:line="276" w:lineRule="auto"/>
      </w:pPr>
      <w:r>
        <w:t>Distancia mínima a poblaciones</w:t>
      </w:r>
    </w:p>
    <w:p w:rsidR="00C64E2D" w:rsidRDefault="00C64E2D" w:rsidP="000A5F58">
      <w:pPr>
        <w:pStyle w:val="Prrafodelista"/>
        <w:numPr>
          <w:ilvl w:val="0"/>
          <w:numId w:val="5"/>
        </w:numPr>
        <w:spacing w:after="200" w:line="276" w:lineRule="auto"/>
      </w:pPr>
      <w:r>
        <w:t>Distancia mínima a sitios protegidos por patrimonio de la humanidad o conservación de naturaleza.</w:t>
      </w:r>
    </w:p>
    <w:p w:rsidR="00C64E2D" w:rsidRDefault="00C64E2D" w:rsidP="00C64E2D">
      <w:pPr>
        <w:spacing w:after="200" w:line="276" w:lineRule="auto"/>
      </w:pPr>
      <w:r>
        <w:t>Además en el caso de Chile en particular se establece la necesidad contar con concesiones marinas y estudios de impacto ambiental si el tamaño de la central lo amerita.</w:t>
      </w:r>
    </w:p>
    <w:p w:rsidR="00C64E2D" w:rsidRDefault="00C64E2D" w:rsidP="00C64E2D">
      <w:pPr>
        <w:spacing w:after="200" w:line="276" w:lineRule="auto"/>
      </w:pPr>
    </w:p>
    <w:p w:rsidR="00CA1335" w:rsidRDefault="00CA1335" w:rsidP="00CA1335">
      <w:pPr>
        <w:pStyle w:val="Prrafodelista"/>
      </w:pPr>
    </w:p>
    <w:p w:rsidR="00CA1335" w:rsidRDefault="00CA1335" w:rsidP="00CA1335">
      <w:pPr>
        <w:spacing w:after="200" w:line="276" w:lineRule="auto"/>
      </w:pPr>
    </w:p>
    <w:p w:rsidR="00CA1335" w:rsidRPr="002F6FDB" w:rsidRDefault="00CA1335" w:rsidP="00CA1335">
      <w:pPr>
        <w:spacing w:after="200" w:line="276" w:lineRule="auto"/>
      </w:pPr>
    </w:p>
    <w:sectPr w:rsidR="00CA1335" w:rsidRPr="002F6F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097415"/>
    <w:multiLevelType w:val="hybridMultilevel"/>
    <w:tmpl w:val="1FE4AF7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39D6086E"/>
    <w:multiLevelType w:val="hybridMultilevel"/>
    <w:tmpl w:val="EB8E5502"/>
    <w:lvl w:ilvl="0" w:tplc="3E047094">
      <w:start w:val="1"/>
      <w:numFmt w:val="lowerLetter"/>
      <w:lvlText w:val="%1."/>
      <w:lvlJc w:val="left"/>
      <w:pPr>
        <w:ind w:left="1080" w:hanging="360"/>
      </w:pPr>
    </w:lvl>
    <w:lvl w:ilvl="1" w:tplc="3EEAF76C">
      <w:start w:val="1"/>
      <w:numFmt w:val="bullet"/>
      <w:lvlText w:val="o"/>
      <w:lvlJc w:val="left"/>
      <w:pPr>
        <w:ind w:left="1800" w:hanging="360"/>
      </w:pPr>
      <w:rPr>
        <w:rFonts w:ascii="Courier New" w:hAnsi="Courier New"/>
      </w:rPr>
    </w:lvl>
    <w:lvl w:ilvl="2" w:tplc="A0F6AE7E">
      <w:start w:val="1"/>
      <w:numFmt w:val="bullet"/>
      <w:lvlText w:val=""/>
      <w:lvlJc w:val="left"/>
      <w:pPr>
        <w:ind w:left="2520" w:hanging="360"/>
      </w:pPr>
      <w:rPr>
        <w:rFonts w:ascii="Wingdings" w:hAnsi="Wingdings"/>
      </w:rPr>
    </w:lvl>
    <w:lvl w:ilvl="3" w:tplc="9F18E168">
      <w:start w:val="1"/>
      <w:numFmt w:val="bullet"/>
      <w:lvlText w:val=""/>
      <w:lvlJc w:val="left"/>
      <w:pPr>
        <w:ind w:left="3240" w:hanging="360"/>
      </w:pPr>
      <w:rPr>
        <w:rFonts w:ascii="Symbol" w:hAnsi="Symbol"/>
      </w:rPr>
    </w:lvl>
    <w:lvl w:ilvl="4" w:tplc="FBF6BA20">
      <w:start w:val="1"/>
      <w:numFmt w:val="bullet"/>
      <w:lvlText w:val="o"/>
      <w:lvlJc w:val="left"/>
      <w:pPr>
        <w:ind w:left="3960" w:hanging="360"/>
      </w:pPr>
      <w:rPr>
        <w:rFonts w:ascii="Courier New" w:hAnsi="Courier New"/>
      </w:rPr>
    </w:lvl>
    <w:lvl w:ilvl="5" w:tplc="D79E841A">
      <w:start w:val="1"/>
      <w:numFmt w:val="bullet"/>
      <w:lvlText w:val=""/>
      <w:lvlJc w:val="left"/>
      <w:pPr>
        <w:ind w:left="4680" w:hanging="360"/>
      </w:pPr>
      <w:rPr>
        <w:rFonts w:ascii="Wingdings" w:hAnsi="Wingdings"/>
      </w:rPr>
    </w:lvl>
    <w:lvl w:ilvl="6" w:tplc="6C384272">
      <w:start w:val="1"/>
      <w:numFmt w:val="bullet"/>
      <w:lvlText w:val=""/>
      <w:lvlJc w:val="left"/>
      <w:pPr>
        <w:ind w:left="5400" w:hanging="360"/>
      </w:pPr>
      <w:rPr>
        <w:rFonts w:ascii="Symbol" w:hAnsi="Symbol"/>
      </w:rPr>
    </w:lvl>
    <w:lvl w:ilvl="7" w:tplc="66428F06">
      <w:start w:val="1"/>
      <w:numFmt w:val="bullet"/>
      <w:lvlText w:val="o"/>
      <w:lvlJc w:val="left"/>
      <w:pPr>
        <w:ind w:left="6120" w:hanging="360"/>
      </w:pPr>
      <w:rPr>
        <w:rFonts w:ascii="Courier New" w:hAnsi="Courier New"/>
      </w:rPr>
    </w:lvl>
    <w:lvl w:ilvl="8" w:tplc="7ABABE64">
      <w:start w:val="1"/>
      <w:numFmt w:val="bullet"/>
      <w:lvlText w:val=""/>
      <w:lvlJc w:val="left"/>
      <w:pPr>
        <w:ind w:left="6840" w:hanging="360"/>
      </w:pPr>
      <w:rPr>
        <w:rFonts w:ascii="Wingdings" w:hAnsi="Wingdings"/>
      </w:rPr>
    </w:lvl>
  </w:abstractNum>
  <w:abstractNum w:abstractNumId="2" w15:restartNumberingAfterBreak="0">
    <w:nsid w:val="3B92118E"/>
    <w:multiLevelType w:val="hybridMultilevel"/>
    <w:tmpl w:val="EB8E5502"/>
    <w:lvl w:ilvl="0" w:tplc="3E047094">
      <w:start w:val="1"/>
      <w:numFmt w:val="lowerLetter"/>
      <w:lvlText w:val="%1."/>
      <w:lvlJc w:val="left"/>
      <w:pPr>
        <w:ind w:left="1080" w:hanging="360"/>
      </w:pPr>
    </w:lvl>
    <w:lvl w:ilvl="1" w:tplc="3EEAF76C">
      <w:start w:val="1"/>
      <w:numFmt w:val="bullet"/>
      <w:lvlText w:val="o"/>
      <w:lvlJc w:val="left"/>
      <w:pPr>
        <w:ind w:left="1800" w:hanging="360"/>
      </w:pPr>
      <w:rPr>
        <w:rFonts w:ascii="Courier New" w:hAnsi="Courier New"/>
      </w:rPr>
    </w:lvl>
    <w:lvl w:ilvl="2" w:tplc="A0F6AE7E">
      <w:start w:val="1"/>
      <w:numFmt w:val="bullet"/>
      <w:lvlText w:val=""/>
      <w:lvlJc w:val="left"/>
      <w:pPr>
        <w:ind w:left="2520" w:hanging="360"/>
      </w:pPr>
      <w:rPr>
        <w:rFonts w:ascii="Wingdings" w:hAnsi="Wingdings"/>
      </w:rPr>
    </w:lvl>
    <w:lvl w:ilvl="3" w:tplc="9F18E168">
      <w:start w:val="1"/>
      <w:numFmt w:val="bullet"/>
      <w:lvlText w:val=""/>
      <w:lvlJc w:val="left"/>
      <w:pPr>
        <w:ind w:left="3240" w:hanging="360"/>
      </w:pPr>
      <w:rPr>
        <w:rFonts w:ascii="Symbol" w:hAnsi="Symbol"/>
      </w:rPr>
    </w:lvl>
    <w:lvl w:ilvl="4" w:tplc="FBF6BA20">
      <w:start w:val="1"/>
      <w:numFmt w:val="bullet"/>
      <w:lvlText w:val="o"/>
      <w:lvlJc w:val="left"/>
      <w:pPr>
        <w:ind w:left="3960" w:hanging="360"/>
      </w:pPr>
      <w:rPr>
        <w:rFonts w:ascii="Courier New" w:hAnsi="Courier New"/>
      </w:rPr>
    </w:lvl>
    <w:lvl w:ilvl="5" w:tplc="D79E841A">
      <w:start w:val="1"/>
      <w:numFmt w:val="bullet"/>
      <w:lvlText w:val=""/>
      <w:lvlJc w:val="left"/>
      <w:pPr>
        <w:ind w:left="4680" w:hanging="360"/>
      </w:pPr>
      <w:rPr>
        <w:rFonts w:ascii="Wingdings" w:hAnsi="Wingdings"/>
      </w:rPr>
    </w:lvl>
    <w:lvl w:ilvl="6" w:tplc="6C384272">
      <w:start w:val="1"/>
      <w:numFmt w:val="bullet"/>
      <w:lvlText w:val=""/>
      <w:lvlJc w:val="left"/>
      <w:pPr>
        <w:ind w:left="5400" w:hanging="360"/>
      </w:pPr>
      <w:rPr>
        <w:rFonts w:ascii="Symbol" w:hAnsi="Symbol"/>
      </w:rPr>
    </w:lvl>
    <w:lvl w:ilvl="7" w:tplc="66428F06">
      <w:start w:val="1"/>
      <w:numFmt w:val="bullet"/>
      <w:lvlText w:val="o"/>
      <w:lvlJc w:val="left"/>
      <w:pPr>
        <w:ind w:left="6120" w:hanging="360"/>
      </w:pPr>
      <w:rPr>
        <w:rFonts w:ascii="Courier New" w:hAnsi="Courier New"/>
      </w:rPr>
    </w:lvl>
    <w:lvl w:ilvl="8" w:tplc="7ABABE64">
      <w:start w:val="1"/>
      <w:numFmt w:val="bullet"/>
      <w:lvlText w:val=""/>
      <w:lvlJc w:val="left"/>
      <w:pPr>
        <w:ind w:left="6840" w:hanging="360"/>
      </w:pPr>
      <w:rPr>
        <w:rFonts w:ascii="Wingdings" w:hAnsi="Wingdings"/>
      </w:rPr>
    </w:lvl>
  </w:abstractNum>
  <w:abstractNum w:abstractNumId="3" w15:restartNumberingAfterBreak="0">
    <w:nsid w:val="4A9E54D7"/>
    <w:multiLevelType w:val="hybridMultilevel"/>
    <w:tmpl w:val="E6D299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6E94710A"/>
    <w:multiLevelType w:val="hybridMultilevel"/>
    <w:tmpl w:val="ACB8BB18"/>
    <w:lvl w:ilvl="0" w:tplc="DA3474B6">
      <w:start w:val="1"/>
      <w:numFmt w:val="bullet"/>
      <w:lvlText w:val=""/>
      <w:lvlJc w:val="left"/>
      <w:pPr>
        <w:ind w:left="720" w:hanging="360"/>
      </w:pPr>
      <w:rPr>
        <w:rFonts w:ascii="Symbol" w:hAnsi="Symbol"/>
      </w:rPr>
    </w:lvl>
    <w:lvl w:ilvl="1" w:tplc="FF6453FA">
      <w:numFmt w:val="bullet"/>
      <w:lvlText w:val="•"/>
      <w:lvlJc w:val="left"/>
      <w:pPr>
        <w:ind w:left="1440" w:hanging="360"/>
      </w:pPr>
      <w:rPr>
        <w:rFonts w:ascii="Calibri" w:hAnsi="Calibri"/>
      </w:rPr>
    </w:lvl>
    <w:lvl w:ilvl="2" w:tplc="F5C2C0D4">
      <w:start w:val="1"/>
      <w:numFmt w:val="bullet"/>
      <w:lvlText w:val=""/>
      <w:lvlJc w:val="left"/>
      <w:pPr>
        <w:ind w:left="2160" w:hanging="360"/>
      </w:pPr>
      <w:rPr>
        <w:rFonts w:ascii="Wingdings" w:hAnsi="Wingdings"/>
      </w:rPr>
    </w:lvl>
    <w:lvl w:ilvl="3" w:tplc="12EC2AEE">
      <w:start w:val="1"/>
      <w:numFmt w:val="bullet"/>
      <w:lvlText w:val=""/>
      <w:lvlJc w:val="left"/>
      <w:pPr>
        <w:ind w:left="2880" w:hanging="360"/>
      </w:pPr>
      <w:rPr>
        <w:rFonts w:ascii="Symbol" w:hAnsi="Symbol"/>
      </w:rPr>
    </w:lvl>
    <w:lvl w:ilvl="4" w:tplc="644C39BA">
      <w:start w:val="1"/>
      <w:numFmt w:val="bullet"/>
      <w:lvlText w:val="o"/>
      <w:lvlJc w:val="left"/>
      <w:pPr>
        <w:ind w:left="3600" w:hanging="360"/>
      </w:pPr>
      <w:rPr>
        <w:rFonts w:ascii="Courier New" w:hAnsi="Courier New"/>
      </w:rPr>
    </w:lvl>
    <w:lvl w:ilvl="5" w:tplc="2138EC52">
      <w:start w:val="1"/>
      <w:numFmt w:val="bullet"/>
      <w:lvlText w:val=""/>
      <w:lvlJc w:val="left"/>
      <w:pPr>
        <w:ind w:left="4320" w:hanging="360"/>
      </w:pPr>
      <w:rPr>
        <w:rFonts w:ascii="Wingdings" w:hAnsi="Wingdings"/>
      </w:rPr>
    </w:lvl>
    <w:lvl w:ilvl="6" w:tplc="B8BA7158">
      <w:start w:val="1"/>
      <w:numFmt w:val="bullet"/>
      <w:lvlText w:val=""/>
      <w:lvlJc w:val="left"/>
      <w:pPr>
        <w:ind w:left="5040" w:hanging="360"/>
      </w:pPr>
      <w:rPr>
        <w:rFonts w:ascii="Symbol" w:hAnsi="Symbol"/>
      </w:rPr>
    </w:lvl>
    <w:lvl w:ilvl="7" w:tplc="D0CE0AE8">
      <w:start w:val="1"/>
      <w:numFmt w:val="bullet"/>
      <w:lvlText w:val="o"/>
      <w:lvlJc w:val="left"/>
      <w:pPr>
        <w:ind w:left="5760" w:hanging="360"/>
      </w:pPr>
      <w:rPr>
        <w:rFonts w:ascii="Courier New" w:hAnsi="Courier New"/>
      </w:rPr>
    </w:lvl>
    <w:lvl w:ilvl="8" w:tplc="ABE4D23E">
      <w:start w:val="1"/>
      <w:numFmt w:val="bullet"/>
      <w:lvlText w:val=""/>
      <w:lvlJc w:val="left"/>
      <w:pPr>
        <w:ind w:left="6480" w:hanging="360"/>
      </w:pPr>
      <w:rPr>
        <w:rFonts w:ascii="Wingdings" w:hAnsi="Wingdings"/>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wNLYwszC0tDQ0NDNR0lEKTi0uzszPAykwrAUAfGDN4ywAAAA="/>
  </w:docVars>
  <w:rsids>
    <w:rsidRoot w:val="007521D7"/>
    <w:rsid w:val="00003CD5"/>
    <w:rsid w:val="000672AD"/>
    <w:rsid w:val="00071387"/>
    <w:rsid w:val="000A5F58"/>
    <w:rsid w:val="000F505A"/>
    <w:rsid w:val="001137F9"/>
    <w:rsid w:val="001643FC"/>
    <w:rsid w:val="001862A9"/>
    <w:rsid w:val="0029632C"/>
    <w:rsid w:val="005411A3"/>
    <w:rsid w:val="005A51B3"/>
    <w:rsid w:val="00696ECC"/>
    <w:rsid w:val="007521D7"/>
    <w:rsid w:val="00823CE0"/>
    <w:rsid w:val="008637D1"/>
    <w:rsid w:val="008835A4"/>
    <w:rsid w:val="008E745B"/>
    <w:rsid w:val="008F3E43"/>
    <w:rsid w:val="00945642"/>
    <w:rsid w:val="00AD322E"/>
    <w:rsid w:val="00AF7342"/>
    <w:rsid w:val="00B7389D"/>
    <w:rsid w:val="00B7659A"/>
    <w:rsid w:val="00BB45A4"/>
    <w:rsid w:val="00BF6357"/>
    <w:rsid w:val="00C64E2D"/>
    <w:rsid w:val="00C77974"/>
    <w:rsid w:val="00CA1335"/>
    <w:rsid w:val="00CF56D0"/>
    <w:rsid w:val="00D94E07"/>
    <w:rsid w:val="00DF75E9"/>
    <w:rsid w:val="00EA6515"/>
    <w:rsid w:val="00F543B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AB2EAD-F487-4688-8888-1223AFBAF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1D7"/>
    <w:pPr>
      <w:spacing w:after="0" w:line="240" w:lineRule="auto"/>
      <w:jc w:val="both"/>
    </w:pPr>
    <w:rPr>
      <w:rFonts w:ascii="Calibri" w:eastAsia="Calibri" w:hAnsi="Calibri" w:cs="Times New Roman"/>
      <w:sz w:val="24"/>
    </w:rPr>
  </w:style>
  <w:style w:type="paragraph" w:styleId="Ttulo1">
    <w:name w:val="heading 1"/>
    <w:basedOn w:val="Normal"/>
    <w:next w:val="Normal"/>
    <w:link w:val="Ttulo1Car"/>
    <w:uiPriority w:val="9"/>
    <w:qFormat/>
    <w:rsid w:val="008835A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ítulo Tablas y Figuras"/>
    <w:basedOn w:val="Normal"/>
    <w:link w:val="PrrafodelistaCar"/>
    <w:uiPriority w:val="34"/>
    <w:qFormat/>
    <w:rsid w:val="007521D7"/>
    <w:pPr>
      <w:ind w:left="720"/>
      <w:contextualSpacing/>
    </w:pPr>
  </w:style>
  <w:style w:type="character" w:customStyle="1" w:styleId="PrrafodelistaCar">
    <w:name w:val="Párrafo de lista Car"/>
    <w:aliases w:val="Título Tablas y Figuras Car"/>
    <w:link w:val="Prrafodelista"/>
    <w:uiPriority w:val="34"/>
    <w:rsid w:val="007521D7"/>
    <w:rPr>
      <w:rFonts w:ascii="Calibri" w:eastAsia="Calibri" w:hAnsi="Calibri" w:cs="Times New Roman"/>
      <w:sz w:val="24"/>
    </w:rPr>
  </w:style>
  <w:style w:type="character" w:customStyle="1" w:styleId="Ttulo1Car">
    <w:name w:val="Título 1 Car"/>
    <w:basedOn w:val="Fuentedeprrafopredeter"/>
    <w:link w:val="Ttulo1"/>
    <w:uiPriority w:val="9"/>
    <w:rsid w:val="008835A4"/>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883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3CD5"/>
    <w:pPr>
      <w:spacing w:after="200"/>
    </w:pPr>
    <w:rPr>
      <w:i/>
      <w:iCs/>
      <w:color w:val="44546A" w:themeColor="text2"/>
      <w:sz w:val="18"/>
      <w:szCs w:val="18"/>
    </w:rPr>
  </w:style>
  <w:style w:type="table" w:styleId="Tablanormal3">
    <w:name w:val="Plain Table 3"/>
    <w:basedOn w:val="Tablanormal"/>
    <w:uiPriority w:val="43"/>
    <w:rsid w:val="000672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6556">
      <w:bodyDiv w:val="1"/>
      <w:marLeft w:val="0"/>
      <w:marRight w:val="0"/>
      <w:marTop w:val="0"/>
      <w:marBottom w:val="0"/>
      <w:divBdr>
        <w:top w:val="none" w:sz="0" w:space="0" w:color="auto"/>
        <w:left w:val="none" w:sz="0" w:space="0" w:color="auto"/>
        <w:bottom w:val="none" w:sz="0" w:space="0" w:color="auto"/>
        <w:right w:val="none" w:sz="0" w:space="0" w:color="auto"/>
      </w:divBdr>
    </w:div>
    <w:div w:id="1423069747">
      <w:bodyDiv w:val="1"/>
      <w:marLeft w:val="0"/>
      <w:marRight w:val="0"/>
      <w:marTop w:val="0"/>
      <w:marBottom w:val="0"/>
      <w:divBdr>
        <w:top w:val="none" w:sz="0" w:space="0" w:color="auto"/>
        <w:left w:val="none" w:sz="0" w:space="0" w:color="auto"/>
        <w:bottom w:val="none" w:sz="0" w:space="0" w:color="auto"/>
        <w:right w:val="none" w:sz="0" w:space="0" w:color="auto"/>
      </w:divBdr>
    </w:div>
    <w:div w:id="147236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12</Pages>
  <Words>2584</Words>
  <Characters>14218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 araya</dc:creator>
  <cp:keywords/>
  <dc:description/>
  <cp:lastModifiedBy>paz araya</cp:lastModifiedBy>
  <cp:revision>20</cp:revision>
  <dcterms:created xsi:type="dcterms:W3CDTF">2019-11-12T05:41:00Z</dcterms:created>
  <dcterms:modified xsi:type="dcterms:W3CDTF">2019-11-12T08:31:00Z</dcterms:modified>
</cp:coreProperties>
</file>